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23B856">
      <w:pPr>
        <w:spacing w:line="360" w:lineRule="auto"/>
        <w:jc w:val="both"/>
        <w:rPr>
          <w:rFonts w:ascii="Calibri" w:hAnsi="Calibri" w:cs="Calibri"/>
          <w:b/>
          <w:sz w:val="24"/>
          <w:szCs w:val="24"/>
          <w:u w:val="single"/>
          <w:lang w:val="en-US"/>
        </w:rPr>
      </w:pPr>
    </w:p>
    <w:p w14:paraId="238F4112">
      <w:pPr>
        <w:spacing w:line="360" w:lineRule="auto"/>
        <w:jc w:val="center"/>
        <w:rPr>
          <w:rFonts w:ascii="Calibri" w:hAnsi="Calibri" w:cs="Calibri"/>
          <w:b/>
          <w:sz w:val="24"/>
          <w:szCs w:val="24"/>
          <w:u w:val="single"/>
          <w:lang w:val="en-US" w:eastAsia="en-US"/>
        </w:rPr>
      </w:pPr>
      <w:r>
        <w:rPr>
          <w:rFonts w:ascii="Calibri" w:hAnsi="Calibri" w:cs="Calibri"/>
          <w:b/>
          <w:sz w:val="24"/>
          <w:szCs w:val="24"/>
          <w:u w:val="single"/>
          <w:lang w:val="en-US" w:eastAsia="en-US"/>
        </w:rPr>
        <w:drawing>
          <wp:inline distT="0" distB="0" distL="0" distR="0">
            <wp:extent cx="5761355" cy="762000"/>
            <wp:effectExtent l="0" t="0" r="0" b="0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6" t="-47" r="-6" b="-47"/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1981A5">
      <w:pPr>
        <w:spacing w:line="360" w:lineRule="auto"/>
        <w:jc w:val="center"/>
        <w:rPr>
          <w:rFonts w:ascii="Calibri" w:hAnsi="Calibri" w:cs="Calibri"/>
          <w:b/>
          <w:sz w:val="24"/>
          <w:szCs w:val="24"/>
          <w:u w:val="single"/>
          <w:lang w:val="en-US" w:eastAsia="en-US"/>
        </w:rPr>
      </w:pPr>
    </w:p>
    <w:p w14:paraId="3C203556">
      <w:pPr>
        <w:spacing w:line="360" w:lineRule="auto"/>
        <w:jc w:val="center"/>
        <w:rPr>
          <w:b/>
          <w:sz w:val="36"/>
          <w:szCs w:val="36"/>
          <w:u w:val="single"/>
        </w:rPr>
      </w:pPr>
    </w:p>
    <w:p w14:paraId="402574EE">
      <w:pPr>
        <w:spacing w:line="360" w:lineRule="auto"/>
        <w:jc w:val="center"/>
        <w:rPr>
          <w:b/>
          <w:sz w:val="36"/>
          <w:szCs w:val="36"/>
          <w:u w:val="single"/>
        </w:rPr>
      </w:pPr>
    </w:p>
    <w:p w14:paraId="07CFBEDE">
      <w:pPr>
        <w:spacing w:line="360" w:lineRule="auto"/>
        <w:jc w:val="center"/>
        <w:rPr>
          <w:b/>
          <w:sz w:val="36"/>
          <w:szCs w:val="36"/>
          <w:u w:val="single"/>
        </w:rPr>
      </w:pPr>
    </w:p>
    <w:p w14:paraId="1C3951EF">
      <w:pPr>
        <w:spacing w:line="360" w:lineRule="auto"/>
        <w:jc w:val="center"/>
        <w:rPr>
          <w:b/>
          <w:sz w:val="36"/>
          <w:szCs w:val="36"/>
          <w:u w:val="single"/>
        </w:rPr>
      </w:pPr>
    </w:p>
    <w:p w14:paraId="35A9701A">
      <w:pPr>
        <w:spacing w:line="360" w:lineRule="auto"/>
        <w:jc w:val="center"/>
        <w:rPr>
          <w:sz w:val="44"/>
          <w:szCs w:val="44"/>
        </w:rPr>
      </w:pPr>
      <w:r>
        <w:rPr>
          <w:b/>
          <w:sz w:val="44"/>
          <w:szCs w:val="44"/>
          <w:u w:val="single"/>
        </w:rPr>
        <w:t>С Т Р А Т Е Г И Я</w:t>
      </w:r>
    </w:p>
    <w:p w14:paraId="418B14B4">
      <w:pPr>
        <w:spacing w:line="360" w:lineRule="auto"/>
        <w:jc w:val="center"/>
        <w:rPr>
          <w:b/>
          <w:sz w:val="44"/>
          <w:szCs w:val="44"/>
          <w:u w:val="single"/>
        </w:rPr>
      </w:pPr>
    </w:p>
    <w:p w14:paraId="568EB8D4">
      <w:pPr>
        <w:spacing w:line="360" w:lineRule="auto"/>
        <w:jc w:val="center"/>
        <w:rPr>
          <w:b/>
          <w:sz w:val="44"/>
          <w:szCs w:val="44"/>
          <w:u w:val="single"/>
        </w:rPr>
      </w:pPr>
      <w:r>
        <w:rPr>
          <w:b/>
          <w:sz w:val="44"/>
          <w:szCs w:val="44"/>
          <w:u w:val="single"/>
        </w:rPr>
        <w:t xml:space="preserve">ЗА РАЗВИТИЕ НА </w:t>
      </w:r>
    </w:p>
    <w:p w14:paraId="799D1F3F">
      <w:pPr>
        <w:spacing w:line="360" w:lineRule="auto"/>
        <w:jc w:val="center"/>
        <w:rPr>
          <w:b/>
          <w:sz w:val="44"/>
          <w:szCs w:val="44"/>
          <w:u w:val="single"/>
        </w:rPr>
      </w:pPr>
      <w:r>
        <w:rPr>
          <w:b/>
          <w:sz w:val="44"/>
          <w:szCs w:val="44"/>
          <w:u w:val="single"/>
        </w:rPr>
        <w:t>ДГ „ЗЛАТНОТО КЛЮЧЕ ”- ГР.БУРГАС</w:t>
      </w:r>
    </w:p>
    <w:p w14:paraId="0FAC19E7">
      <w:pPr>
        <w:spacing w:line="360" w:lineRule="auto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ЗА ПЕРИОДА 2026-2030 г.</w:t>
      </w:r>
    </w:p>
    <w:p w14:paraId="7E18BF8D">
      <w:pPr>
        <w:spacing w:line="360" w:lineRule="auto"/>
        <w:jc w:val="both"/>
        <w:rPr>
          <w:b/>
          <w:sz w:val="24"/>
          <w:szCs w:val="24"/>
          <w:u w:val="single"/>
        </w:rPr>
      </w:pPr>
    </w:p>
    <w:p w14:paraId="7B1C325E">
      <w:pPr>
        <w:pStyle w:val="4"/>
        <w:rPr>
          <w:rFonts w:eastAsia="Calibri"/>
        </w:rPr>
      </w:pPr>
    </w:p>
    <w:p w14:paraId="6A1C2D21">
      <w:pPr>
        <w:pStyle w:val="4"/>
        <w:rPr>
          <w:rFonts w:eastAsia="Calibri"/>
        </w:rPr>
      </w:pPr>
    </w:p>
    <w:p w14:paraId="0A2D8C20">
      <w:pPr>
        <w:pStyle w:val="4"/>
        <w:rPr>
          <w:rFonts w:eastAsia="Calibri"/>
        </w:rPr>
      </w:pPr>
    </w:p>
    <w:p w14:paraId="59AC8745">
      <w:pPr>
        <w:pStyle w:val="4"/>
        <w:rPr>
          <w:rFonts w:eastAsia="Calibri"/>
        </w:rPr>
      </w:pPr>
    </w:p>
    <w:p w14:paraId="5593413C">
      <w:pPr>
        <w:pStyle w:val="4"/>
        <w:rPr>
          <w:rFonts w:eastAsia="Calibri"/>
        </w:rPr>
      </w:pPr>
    </w:p>
    <w:p w14:paraId="53476EF2">
      <w:pPr>
        <w:pStyle w:val="4"/>
        <w:rPr>
          <w:rFonts w:eastAsia="Calibri"/>
        </w:rPr>
      </w:pPr>
    </w:p>
    <w:p w14:paraId="376C3B1C">
      <w:pPr>
        <w:pStyle w:val="4"/>
        <w:rPr>
          <w:rFonts w:eastAsia="Calibri"/>
        </w:rPr>
      </w:pPr>
    </w:p>
    <w:p w14:paraId="3C83E553">
      <w:pPr>
        <w:pStyle w:val="4"/>
        <w:jc w:val="center"/>
        <w:rPr>
          <w:rFonts w:eastAsia="Calibri"/>
        </w:rPr>
      </w:pPr>
      <w:r>
        <w:rPr>
          <w:rFonts w:eastAsia="Calibri"/>
        </w:rPr>
        <w:t>Приета на заседание на Педагогически съвет с Протокол №</w:t>
      </w:r>
      <w:r>
        <w:rPr>
          <w:rFonts w:eastAsia="Calibri"/>
          <w:lang w:val="en-US"/>
        </w:rPr>
        <w:t xml:space="preserve"> 1/17.09.2026</w:t>
      </w:r>
      <w:r>
        <w:rPr>
          <w:rFonts w:eastAsia="Calibri"/>
        </w:rPr>
        <w:t>г.</w:t>
      </w:r>
    </w:p>
    <w:p w14:paraId="013FCA3A">
      <w:pPr>
        <w:pStyle w:val="4"/>
        <w:jc w:val="center"/>
        <w:rPr>
          <w:rFonts w:eastAsia="Calibri"/>
        </w:rPr>
      </w:pPr>
    </w:p>
    <w:p w14:paraId="313947FA">
      <w:pPr>
        <w:pStyle w:val="4"/>
        <w:jc w:val="center"/>
        <w:rPr>
          <w:rFonts w:eastAsia="Calibri"/>
        </w:rPr>
      </w:pPr>
    </w:p>
    <w:p w14:paraId="27E1B0D5">
      <w:pPr>
        <w:pStyle w:val="4"/>
        <w:jc w:val="center"/>
        <w:rPr>
          <w:rFonts w:eastAsia="Calibri"/>
        </w:rPr>
      </w:pPr>
      <w:r>
        <w:rPr>
          <w:rFonts w:eastAsia="Calibri"/>
        </w:rPr>
        <w:t>ГР. БУРГАС</w:t>
      </w:r>
    </w:p>
    <w:p w14:paraId="55A2B4F3">
      <w:pPr>
        <w:pStyle w:val="4"/>
        <w:rPr>
          <w:rFonts w:eastAsia="Calibri"/>
        </w:rPr>
      </w:pPr>
    </w:p>
    <w:p w14:paraId="013D4BC5">
      <w:pPr>
        <w:pStyle w:val="4"/>
        <w:rPr>
          <w:rFonts w:eastAsia="Calibri"/>
        </w:rPr>
      </w:pPr>
    </w:p>
    <w:p w14:paraId="352781AB">
      <w:pPr>
        <w:pStyle w:val="4"/>
        <w:rPr>
          <w:rFonts w:eastAsia="Calibri"/>
        </w:rPr>
      </w:pPr>
    </w:p>
    <w:p w14:paraId="55AAD9D0">
      <w:pPr>
        <w:pStyle w:val="4"/>
        <w:rPr>
          <w:rFonts w:eastAsia="Calibri"/>
        </w:rPr>
      </w:pPr>
    </w:p>
    <w:p w14:paraId="1916049A">
      <w:pPr>
        <w:pStyle w:val="4"/>
        <w:rPr>
          <w:rFonts w:eastAsia="Calibri"/>
        </w:rPr>
      </w:pPr>
    </w:p>
    <w:p w14:paraId="4E58E616">
      <w:pPr>
        <w:pStyle w:val="4"/>
        <w:rPr>
          <w:rFonts w:eastAsia="Calibri"/>
        </w:rPr>
      </w:pPr>
    </w:p>
    <w:p w14:paraId="2952AC3F">
      <w:pPr>
        <w:pStyle w:val="4"/>
        <w:rPr>
          <w:rFonts w:eastAsia="Calibri"/>
        </w:rPr>
      </w:pPr>
    </w:p>
    <w:p w14:paraId="5730F4FC">
      <w:pPr>
        <w:pStyle w:val="4"/>
        <w:rPr>
          <w:rFonts w:eastAsia="Calibri"/>
        </w:rPr>
      </w:pPr>
    </w:p>
    <w:p w14:paraId="1265E766">
      <w:pPr>
        <w:pStyle w:val="4"/>
        <w:rPr>
          <w:rFonts w:eastAsia="Calibri"/>
        </w:rPr>
      </w:pPr>
    </w:p>
    <w:p w14:paraId="1C26A17A">
      <w:pPr>
        <w:pStyle w:val="4"/>
        <w:rPr>
          <w:rFonts w:eastAsia="Calibri"/>
        </w:rPr>
      </w:pPr>
    </w:p>
    <w:p w14:paraId="182DE6E3">
      <w:pPr>
        <w:pStyle w:val="4"/>
        <w:rPr>
          <w:rFonts w:eastAsia="Calibri"/>
        </w:rPr>
      </w:pPr>
    </w:p>
    <w:p w14:paraId="784F6303">
      <w:pPr>
        <w:pStyle w:val="4"/>
        <w:rPr>
          <w:rFonts w:eastAsia="Calibri"/>
          <w:lang w:val="en-US"/>
        </w:rPr>
      </w:pPr>
      <w:r>
        <w:rPr>
          <w:rFonts w:eastAsia="Calibri"/>
        </w:rPr>
        <w:t>I. ОБЩИ ПОЛОЖЕНИЯ</w:t>
      </w:r>
    </w:p>
    <w:p w14:paraId="36C0617F">
      <w:pPr>
        <w:pStyle w:val="4"/>
        <w:spacing w:before="240" w:after="240"/>
        <w:rPr>
          <w:rFonts w:eastAsia="Calibri"/>
          <w:bCs w:val="0"/>
        </w:rPr>
      </w:pPr>
    </w:p>
    <w:p w14:paraId="50FD712B">
      <w:pPr>
        <w:pStyle w:val="4"/>
        <w:spacing w:before="240" w:after="240"/>
        <w:rPr>
          <w:lang w:val="en-US"/>
        </w:rPr>
      </w:pPr>
      <w:r>
        <w:rPr>
          <w:rFonts w:eastAsia="Calibri"/>
          <w:bCs w:val="0"/>
        </w:rPr>
        <w:t>1. Въведение</w:t>
      </w:r>
    </w:p>
    <w:p w14:paraId="50F5AA83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Стратегията за развитие на ДГ „Златното ключе“ – гр. Бургас е разработена в съответствие със Закона за предучилищното и училищното образование, държавните образователни стандарти, приоритетите на МОН, РУО – Бургас и Община Бургас, както и със спецификата, потребностите и ресурсите на детската градина. Тя очертава визията, мисията, стратегическите цели и основните дейности за периода 2026–2031 г. и подлежи на приемане от Педагогическия съвет.</w:t>
      </w:r>
    </w:p>
    <w:p w14:paraId="64642C30">
      <w:pPr>
        <w:pStyle w:val="100"/>
        <w:spacing w:line="360" w:lineRule="auto"/>
        <w:jc w:val="both"/>
      </w:pPr>
      <w:r>
        <w:rPr>
          <w:spacing w:val="-2"/>
        </w:rPr>
        <w:t xml:space="preserve">Стратегията е система от педагогически идеи и поредица от действия, които водят до нови състояния в зависимост от актуалните и бъдещите потребности на </w:t>
      </w:r>
      <w:r>
        <w:rPr>
          <w:i/>
          <w:iCs/>
          <w:spacing w:val="-2"/>
        </w:rPr>
        <w:t>ДГ</w:t>
      </w:r>
      <w:r>
        <w:t xml:space="preserve"> „</w:t>
      </w:r>
      <w:r>
        <w:rPr>
          <w:i/>
          <w:iCs/>
          <w:spacing w:val="-2"/>
        </w:rPr>
        <w:t>ЗЛАТНОТО КЛЮЧЕ”</w:t>
      </w:r>
      <w:r>
        <w:rPr>
          <w:spacing w:val="-2"/>
        </w:rPr>
        <w:t>. Тя се опира на миналия положителен опит, начертава бъдещи действия по посока на очаквания резултат, търси вътрешни ресурси и потенциални възможности. Определя условията и характера на дейностите, очер</w:t>
      </w:r>
      <w:r>
        <w:rPr>
          <w:spacing w:val="-2"/>
        </w:rPr>
        <w:softHyphen/>
      </w:r>
      <w:r>
        <w:rPr>
          <w:spacing w:val="-2"/>
        </w:rPr>
        <w:t>тава вероятните трудности, установява принципите на ръководство.</w:t>
      </w:r>
    </w:p>
    <w:p w14:paraId="0C5EB8A4">
      <w:pPr>
        <w:pStyle w:val="100"/>
        <w:spacing w:line="360" w:lineRule="auto"/>
        <w:jc w:val="both"/>
      </w:pPr>
      <w:r>
        <w:t>Стратегията се опира на съвкупността от взаимосвързаните мисия, визия, ценности, дейности, цел и подцели.</w:t>
      </w:r>
    </w:p>
    <w:p w14:paraId="12350EB4">
      <w:pPr>
        <w:pStyle w:val="100"/>
        <w:spacing w:line="360" w:lineRule="auto"/>
        <w:jc w:val="both"/>
        <w:rPr>
          <w:b/>
          <w:bCs/>
        </w:rPr>
      </w:pPr>
      <w:r>
        <w:rPr>
          <w:b/>
          <w:bCs/>
        </w:rPr>
        <w:t>2. НОРМАТИВНА БАЗА ЗА СЪЗДАВАНЕ НА СТРАТЕГИЯТА</w:t>
      </w:r>
    </w:p>
    <w:p w14:paraId="7C4AFBD8">
      <w:pPr>
        <w:pStyle w:val="100"/>
        <w:spacing w:line="360" w:lineRule="auto"/>
        <w:jc w:val="both"/>
      </w:pPr>
      <w:r>
        <w:t xml:space="preserve">Образователната политика на ДГ „Златното ключе" е част от актуалната държавна образователна политика, отнасяща се до предучилищното образование. Организираните дейности в институцията са съобразени с действащите нормативни документи, стратегии, национални и оперативни програми: </w:t>
      </w:r>
    </w:p>
    <w:p w14:paraId="386B0FED">
      <w:pPr>
        <w:pStyle w:val="100"/>
        <w:spacing w:line="360" w:lineRule="auto"/>
        <w:jc w:val="both"/>
      </w:pPr>
      <w:r>
        <w:t>1. Закон за предучилищното и училищното образование в сила от 01.08.2016 г., изм. и</w:t>
      </w:r>
    </w:p>
    <w:p w14:paraId="28D4D4B0">
      <w:pPr>
        <w:pStyle w:val="100"/>
        <w:spacing w:line="360" w:lineRule="auto"/>
        <w:jc w:val="both"/>
      </w:pPr>
      <w:r>
        <w:t>доп. ДВ. бр.27 от 29.03.2024г.) (акт. 03.04.2024 г.)</w:t>
      </w:r>
    </w:p>
    <w:p w14:paraId="2A66C824">
      <w:pPr>
        <w:pStyle w:val="100"/>
        <w:spacing w:line="360" w:lineRule="auto"/>
        <w:jc w:val="both"/>
      </w:pPr>
      <w:r>
        <w:t>2. Закон за закрила на детето</w:t>
      </w:r>
    </w:p>
    <w:p w14:paraId="00C2B453">
      <w:pPr>
        <w:pStyle w:val="100"/>
        <w:spacing w:line="360" w:lineRule="auto"/>
        <w:jc w:val="both"/>
      </w:pPr>
      <w:r>
        <w:t>3. Закон за здравето</w:t>
      </w:r>
    </w:p>
    <w:p w14:paraId="68BFC39A">
      <w:pPr>
        <w:pStyle w:val="100"/>
        <w:spacing w:line="360" w:lineRule="auto"/>
        <w:jc w:val="both"/>
      </w:pPr>
      <w:r>
        <w:t>4. Закон за защита от дискриминация</w:t>
      </w:r>
    </w:p>
    <w:p w14:paraId="7A3D4E85">
      <w:pPr>
        <w:pStyle w:val="100"/>
        <w:spacing w:line="360" w:lineRule="auto"/>
        <w:jc w:val="both"/>
      </w:pPr>
      <w:r>
        <w:t xml:space="preserve">5. Закон за местното самоуправление и местната администрация. </w:t>
      </w:r>
    </w:p>
    <w:p w14:paraId="623468CA">
      <w:pPr>
        <w:pStyle w:val="100"/>
        <w:spacing w:line="360" w:lineRule="auto"/>
        <w:jc w:val="both"/>
      </w:pPr>
      <w:r>
        <w:t xml:space="preserve">6. Етичен кодекс на работещите с деца </w:t>
      </w:r>
    </w:p>
    <w:p w14:paraId="1E926313">
      <w:pPr>
        <w:pStyle w:val="100"/>
        <w:spacing w:line="360" w:lineRule="auto"/>
        <w:jc w:val="both"/>
      </w:pPr>
      <w:r>
        <w:t>7. Конвенция на ООН за правата на детето</w:t>
      </w:r>
    </w:p>
    <w:p w14:paraId="71E248FB">
      <w:pPr>
        <w:pStyle w:val="100"/>
        <w:spacing w:line="360" w:lineRule="auto"/>
        <w:jc w:val="both"/>
      </w:pPr>
      <w:r>
        <w:t>8. Кодекс на труда</w:t>
      </w:r>
    </w:p>
    <w:p w14:paraId="066F2EE3">
      <w:pPr>
        <w:pStyle w:val="100"/>
        <w:spacing w:line="360" w:lineRule="auto"/>
        <w:jc w:val="both"/>
      </w:pPr>
      <w:r>
        <w:t>9. Наредба № 5/03.06.2016 за предучилищното образование (посл. изм. и доп. ДВ. бр.46 от 31 май 2024 г.);</w:t>
      </w:r>
    </w:p>
    <w:p w14:paraId="70833071">
      <w:pPr>
        <w:pStyle w:val="100"/>
        <w:spacing w:line="360" w:lineRule="auto"/>
        <w:jc w:val="both"/>
      </w:pPr>
      <w:r>
        <w:t>10. Наредба № 8/11.08.2016 г. за информацията и документите за системата на предучилищното и училищно образование (посл. доп., бр. 34 от 2024 г., в сила от 16.04.2024 г.);</w:t>
      </w:r>
    </w:p>
    <w:p w14:paraId="41B7DA5D">
      <w:pPr>
        <w:pStyle w:val="100"/>
        <w:spacing w:line="360" w:lineRule="auto"/>
        <w:jc w:val="both"/>
      </w:pPr>
      <w:r>
        <w:t>11. Наредба № 13/21.09.2016 г. за гражданското, здравното, екологичното и</w:t>
      </w:r>
    </w:p>
    <w:p w14:paraId="5FE1673B">
      <w:pPr>
        <w:pStyle w:val="100"/>
        <w:spacing w:line="360" w:lineRule="auto"/>
        <w:jc w:val="both"/>
      </w:pPr>
      <w:r>
        <w:t>интеркултурното образование в системата на предучилищното и училищно образование;</w:t>
      </w:r>
    </w:p>
    <w:p w14:paraId="2ED63701">
      <w:pPr>
        <w:pStyle w:val="100"/>
        <w:spacing w:line="360" w:lineRule="auto"/>
        <w:jc w:val="both"/>
      </w:pPr>
      <w:r>
        <w:t>12. Наредба за приобщаващото образование (изм. и доп. ДВ. бр.66 от 6 август 2024 г.); 13. Наредба № 15/22. 07. 2019 г. за статута и професионалното развитие на учителите, директорите и другите педагогически специалисти изм. ДВ. бр.67 от 9 август 2024г.; 14. Наредба № 9 от 19 август 2016 г. за институциите в системата на предучилищното и</w:t>
      </w:r>
    </w:p>
    <w:p w14:paraId="289F441B">
      <w:pPr>
        <w:pStyle w:val="100"/>
        <w:spacing w:line="360" w:lineRule="auto"/>
        <w:jc w:val="both"/>
      </w:pPr>
      <w:r>
        <w:t>училищното образование, изм. и доп. ДВ. бр.87 от 9.10.2020 г.;</w:t>
      </w:r>
    </w:p>
    <w:p w14:paraId="14624CCE">
      <w:pPr>
        <w:pStyle w:val="100"/>
        <w:spacing w:line="360" w:lineRule="auto"/>
        <w:jc w:val="both"/>
      </w:pPr>
      <w:r>
        <w:t>15. Наредба № 24/10.09.2020 г. за физическата среда и информационното и</w:t>
      </w:r>
    </w:p>
    <w:p w14:paraId="3853452E">
      <w:pPr>
        <w:pStyle w:val="100"/>
        <w:spacing w:line="360" w:lineRule="auto"/>
        <w:jc w:val="both"/>
      </w:pPr>
      <w:r>
        <w:t>библиотечното осигуряване на детските градини, училищата и центровете за подкрепа</w:t>
      </w:r>
    </w:p>
    <w:p w14:paraId="44FB5371">
      <w:pPr>
        <w:pStyle w:val="100"/>
        <w:spacing w:line="360" w:lineRule="auto"/>
        <w:jc w:val="both"/>
      </w:pPr>
      <w:r>
        <w:t xml:space="preserve">за личностно развитие, изд. от министъра на образованието и науката и министъра на здравеопазването (обн., ДВ, бр. 84 от 29.09.2020 г.); </w:t>
      </w:r>
    </w:p>
    <w:p w14:paraId="60BEFD10">
      <w:pPr>
        <w:pStyle w:val="100"/>
        <w:spacing w:line="360" w:lineRule="auto"/>
        <w:jc w:val="both"/>
      </w:pPr>
      <w:r>
        <w:t xml:space="preserve">16. Национална програма за закрила на детето (2019 г. . 2030 г.); </w:t>
      </w:r>
    </w:p>
    <w:p w14:paraId="6C8BD3FC">
      <w:pPr>
        <w:pStyle w:val="100"/>
        <w:spacing w:line="360" w:lineRule="auto"/>
        <w:jc w:val="both"/>
      </w:pPr>
      <w:r>
        <w:t xml:space="preserve">17. Национална стратегия за детето (2018-2030 г.); </w:t>
      </w:r>
    </w:p>
    <w:p w14:paraId="23BCFBF3">
      <w:pPr>
        <w:pStyle w:val="100"/>
        <w:spacing w:line="360" w:lineRule="auto"/>
        <w:jc w:val="both"/>
      </w:pPr>
      <w:r>
        <w:t xml:space="preserve">18. Национална програма за развитие „България 2030“ (РМС № 33/20.01.2020 г.); </w:t>
      </w:r>
    </w:p>
    <w:p w14:paraId="0BF51D38">
      <w:pPr>
        <w:pStyle w:val="100"/>
        <w:spacing w:line="360" w:lineRule="auto"/>
        <w:jc w:val="both"/>
      </w:pPr>
      <w:r>
        <w:t>19. Национална стратегия за демографско развитие на населението в Република България (2012-2030);</w:t>
      </w:r>
    </w:p>
    <w:p w14:paraId="720F1F01">
      <w:pPr>
        <w:pStyle w:val="100"/>
        <w:spacing w:line="360" w:lineRule="auto"/>
        <w:jc w:val="both"/>
      </w:pPr>
      <w:r>
        <w:t>20. Стратегия на Европейския съюз за интелигентен, устойчив и приобщаващ растеж „Европа“ 2030 г.</w:t>
      </w:r>
    </w:p>
    <w:p w14:paraId="32DFCDC6">
      <w:pPr>
        <w:pStyle w:val="100"/>
        <w:spacing w:line="360" w:lineRule="auto"/>
        <w:jc w:val="both"/>
      </w:pPr>
      <w:r>
        <w:t>21. Европейска референтна рамка за ключовите компетентности за учене през целия живот</w:t>
      </w:r>
    </w:p>
    <w:p w14:paraId="671DCAFD">
      <w:pPr>
        <w:pStyle w:val="100"/>
        <w:spacing w:line="360" w:lineRule="auto"/>
        <w:jc w:val="both"/>
      </w:pPr>
      <w:r>
        <w:t>22. Оперативни и национални програми</w:t>
      </w:r>
    </w:p>
    <w:p w14:paraId="20652E37">
      <w:pPr>
        <w:pStyle w:val="4"/>
        <w:spacing w:line="276" w:lineRule="auto"/>
        <w:rPr>
          <w:rFonts w:eastAsia="Calibri"/>
        </w:rPr>
      </w:pPr>
      <w:r>
        <w:rPr>
          <w:rFonts w:eastAsia="Calibri"/>
        </w:rPr>
        <w:t xml:space="preserve">3. История и развитие </w:t>
      </w:r>
    </w:p>
    <w:p w14:paraId="3BA7C888">
      <w:pPr>
        <w:spacing w:line="360" w:lineRule="auto"/>
        <w:jc w:val="both"/>
        <w:rPr>
          <w:sz w:val="24"/>
          <w:szCs w:val="24"/>
        </w:rPr>
      </w:pPr>
    </w:p>
    <w:p w14:paraId="6AB7F7F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ДГ ЗЛАТНО КЛЮЧЕ”- " се намира в ж.к.”Възраждане ” в близост до центъра на града. Създадена е през 1984 година. Помещава се в две двуетажни сгради, специално построени за детското заведение.</w:t>
      </w:r>
    </w:p>
    <w:p w14:paraId="5E25FFAA">
      <w:pPr>
        <w:spacing w:line="360" w:lineRule="auto"/>
        <w:jc w:val="both"/>
        <w:rPr>
          <w:sz w:val="24"/>
          <w:szCs w:val="24"/>
        </w:rPr>
      </w:pPr>
    </w:p>
    <w:p w14:paraId="2FB30D56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І</w:t>
      </w:r>
      <w:r>
        <w:rPr>
          <w:b/>
          <w:bCs/>
          <w:sz w:val="24"/>
          <w:szCs w:val="24"/>
          <w:lang w:val="en-US"/>
        </w:rPr>
        <w:t>I</w:t>
      </w:r>
      <w:r>
        <w:rPr>
          <w:b/>
          <w:bCs/>
          <w:sz w:val="24"/>
          <w:szCs w:val="24"/>
        </w:rPr>
        <w:t>. АНАЛИЗ И ОЦЕНКА НА ФАКТОРИТЕ НА ВЪТРЕШНАТА СРЕДА</w:t>
      </w:r>
    </w:p>
    <w:p w14:paraId="60CCEA83">
      <w:pPr>
        <w:spacing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1. Анализ на образователната политика на детската градина:</w:t>
      </w:r>
    </w:p>
    <w:p w14:paraId="7916E0E6">
      <w:pPr>
        <w:spacing w:line="360" w:lineRule="auto"/>
        <w:jc w:val="both"/>
        <w:rPr>
          <w:b/>
          <w:sz w:val="24"/>
          <w:szCs w:val="24"/>
          <w:u w:val="single"/>
        </w:rPr>
      </w:pPr>
    </w:p>
    <w:p w14:paraId="084C707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Детската градина е общинска собственост, финансира се  от общинския бюджет и държавно финансиране. Помещава се в две двуетажни сгради, специално  построени за детско заведение .</w:t>
      </w:r>
    </w:p>
    <w:p w14:paraId="2E9D831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Разполага с голям двор, богата на  красива растителност и спортни площадки за всяка група. Капацитетът на ДГ е 280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деца, разпределени в осем възрастови групи.</w:t>
      </w:r>
    </w:p>
    <w:p w14:paraId="0F95F16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ДГ" ЗЛАТНО КЛЮЧЕ”-" е член на ОМЕП, работи съвместно с неправителствени организации, културните институции в града и др. </w:t>
      </w:r>
    </w:p>
    <w:p w14:paraId="158E6C0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ДГ" ЗЛАТНО КЛЮЧЕ”-" е носител на грамоти и отличия за цялостна ВОР. Тя е и носител на десетки наши и международни отличия  за участие на наши възпитаници в  конкурси и мероприятия. Децата ни участват в допълнителни пед. дейности , свързани с изкуствата.</w:t>
      </w:r>
    </w:p>
    <w:p w14:paraId="5F32347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 Децата на ДГ  " ЗЛАТНО КЛЮЧЕ”-"са познати на обществеността в града ни от многобройните изяви  и участия в обществения живот на града ни.</w:t>
      </w:r>
    </w:p>
    <w:p w14:paraId="1618C0EE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ДГ „Златно ключе“ има своя химн, знаме, символи и утвърдена униформа, които са израз на идентичността и принадлежността към детската градина и са повод за гордост за служителите и всички възпитаници. Униформата създава усещане за единство, сплотеност и принадлежност към общността на ДГ „Златно ключе“ и допринася за изграждането на положителен имидж на детската градина.</w:t>
      </w:r>
    </w:p>
    <w:p w14:paraId="4B045461">
      <w:pPr>
        <w:numPr>
          <w:ilvl w:val="1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 ДЕЦА</w:t>
      </w:r>
    </w:p>
    <w:p w14:paraId="6DEAE5F9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Към учебната 202</w:t>
      </w:r>
      <w:r>
        <w:rPr>
          <w:rFonts w:hint="default"/>
          <w:sz w:val="24"/>
          <w:szCs w:val="24"/>
          <w:lang w:val="bg-BG"/>
        </w:rPr>
        <w:t>6</w:t>
      </w:r>
      <w:r>
        <w:rPr>
          <w:sz w:val="24"/>
          <w:szCs w:val="24"/>
        </w:rPr>
        <w:t>–202</w:t>
      </w:r>
      <w:r>
        <w:rPr>
          <w:rFonts w:hint="default"/>
          <w:sz w:val="24"/>
          <w:szCs w:val="24"/>
          <w:lang w:val="bg-BG"/>
        </w:rPr>
        <w:t>7</w:t>
      </w:r>
      <w:r>
        <w:rPr>
          <w:sz w:val="24"/>
          <w:szCs w:val="24"/>
        </w:rPr>
        <w:t xml:space="preserve"> г. в ДГ „Златното ключе“ са приети 22</w:t>
      </w:r>
      <w:r>
        <w:rPr>
          <w:rFonts w:hint="default"/>
          <w:sz w:val="24"/>
          <w:szCs w:val="24"/>
          <w:lang w:val="bg-BG"/>
        </w:rPr>
        <w:t>5</w:t>
      </w:r>
      <w:bookmarkStart w:id="0" w:name="_GoBack"/>
      <w:bookmarkEnd w:id="0"/>
      <w:r>
        <w:rPr>
          <w:sz w:val="24"/>
          <w:szCs w:val="24"/>
        </w:rPr>
        <w:t xml:space="preserve"> деца, разпределени в 8 целодневни групи. Посочените данни са изходна база за стратегическия период и се актуализират ежегодно според броя на записаните и посещаващи деца.</w:t>
      </w:r>
    </w:p>
    <w:tbl>
      <w:tblPr>
        <w:tblStyle w:val="3"/>
        <w:tblpPr w:leftFromText="180" w:rightFromText="180" w:vertAnchor="text" w:horzAnchor="page" w:tblpX="1535" w:tblpY="408"/>
        <w:tblOverlap w:val="never"/>
        <w:tblW w:w="8931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6"/>
        <w:gridCol w:w="4395"/>
      </w:tblGrid>
      <w:tr w14:paraId="15360EB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shd w:val="clear" w:color="auto" w:fill="EEECE1"/>
          </w:tcPr>
          <w:p w14:paraId="6F00FF8A">
            <w:pPr>
              <w:pStyle w:val="4"/>
              <w:spacing w:line="276" w:lineRule="auto"/>
              <w:jc w:val="center"/>
            </w:pPr>
            <w:r>
              <w:t>Силни страни</w:t>
            </w:r>
          </w:p>
        </w:tc>
        <w:tc>
          <w:tcPr>
            <w:tcW w:w="4395" w:type="dxa"/>
            <w:shd w:val="clear" w:color="auto" w:fill="EEECE1"/>
            <w:vAlign w:val="center"/>
          </w:tcPr>
          <w:p w14:paraId="406E9891">
            <w:pPr>
              <w:pStyle w:val="4"/>
              <w:spacing w:line="276" w:lineRule="auto"/>
              <w:jc w:val="center"/>
            </w:pPr>
            <w:r>
              <w:t>Слаби страни</w:t>
            </w:r>
          </w:p>
        </w:tc>
      </w:tr>
      <w:tr w14:paraId="1D94277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shd w:val="clear" w:color="auto" w:fill="auto"/>
          </w:tcPr>
          <w:p w14:paraId="11C84C9B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Средната месечна посещаемост е много добра.</w:t>
            </w:r>
          </w:p>
          <w:p w14:paraId="5B86BD27">
            <w:pPr>
              <w:ind w:left="360"/>
              <w:jc w:val="both"/>
              <w:rPr>
                <w:sz w:val="24"/>
                <w:szCs w:val="24"/>
              </w:rPr>
            </w:pPr>
          </w:p>
          <w:p w14:paraId="69C19C63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Създадени са условия за изяви и творчество на децата</w:t>
            </w:r>
            <w:r>
              <w:rPr>
                <w:sz w:val="24"/>
                <w:szCs w:val="24"/>
                <w:lang w:val="en-US"/>
              </w:rPr>
              <w:t>.</w:t>
            </w:r>
          </w:p>
          <w:p w14:paraId="26BDBC73">
            <w:pPr>
              <w:ind w:left="360"/>
              <w:jc w:val="both"/>
              <w:rPr>
                <w:sz w:val="24"/>
                <w:szCs w:val="24"/>
              </w:rPr>
            </w:pPr>
          </w:p>
          <w:p w14:paraId="7B040815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Интеграция на децата с обучителни затруднения.</w:t>
            </w:r>
          </w:p>
          <w:p w14:paraId="1D872EA0">
            <w:pPr>
              <w:ind w:left="360"/>
              <w:jc w:val="both"/>
              <w:rPr>
                <w:sz w:val="24"/>
                <w:szCs w:val="24"/>
              </w:rPr>
            </w:pPr>
          </w:p>
          <w:p w14:paraId="5EEB4F8B">
            <w:pPr>
              <w:pStyle w:val="99"/>
              <w:numPr>
                <w:ilvl w:val="0"/>
                <w:numId w:val="2"/>
              </w:numPr>
              <w:tabs>
                <w:tab w:val="left" w:pos="-2382"/>
                <w:tab w:val="left" w:pos="-2160"/>
              </w:tabs>
            </w:pPr>
            <w:r>
              <w:t>Адекватно прилагане на модели за поведение при реализиране спазването правата на детето, съгласно Хартата за правата на детето, Закона за правата на детето.</w:t>
            </w:r>
          </w:p>
          <w:p w14:paraId="26465DF6">
            <w:pPr>
              <w:pStyle w:val="99"/>
              <w:tabs>
                <w:tab w:val="left" w:pos="-2382"/>
                <w:tab w:val="left" w:pos="-2160"/>
              </w:tabs>
              <w:ind w:left="360"/>
            </w:pPr>
          </w:p>
          <w:p w14:paraId="5B792E44">
            <w:pPr>
              <w:pStyle w:val="4"/>
              <w:numPr>
                <w:ilvl w:val="0"/>
                <w:numId w:val="2"/>
              </w:num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Механизъм за безпроблемна адаптация на децата в условията на детската градина.</w:t>
            </w:r>
          </w:p>
          <w:p w14:paraId="04F3F325">
            <w:pPr>
              <w:pStyle w:val="4"/>
              <w:rPr>
                <w:b w:val="0"/>
                <w:bCs w:val="0"/>
              </w:rPr>
            </w:pPr>
          </w:p>
          <w:p w14:paraId="68D02E7C">
            <w:pPr>
              <w:pStyle w:val="4"/>
              <w:numPr>
                <w:ilvl w:val="0"/>
                <w:numId w:val="2"/>
              </w:num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Утвърждаване на личностно ориентиран и позитивен подход на възпитание</w:t>
            </w:r>
          </w:p>
          <w:p w14:paraId="7A015CD4">
            <w:pPr>
              <w:pStyle w:val="4"/>
              <w:ind w:left="360"/>
              <w:rPr>
                <w:b w:val="0"/>
                <w:bCs w:val="0"/>
              </w:rPr>
            </w:pPr>
          </w:p>
          <w:p w14:paraId="6F8A0AD6">
            <w:pPr>
              <w:pStyle w:val="4"/>
              <w:numPr>
                <w:ilvl w:val="0"/>
                <w:numId w:val="2"/>
              </w:num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Създадени са условия за „равен старт“ на всички деца.</w:t>
            </w:r>
          </w:p>
          <w:p w14:paraId="7E1725A3">
            <w:pPr>
              <w:pStyle w:val="4"/>
              <w:ind w:left="360"/>
              <w:rPr>
                <w:b w:val="0"/>
                <w:bCs w:val="0"/>
              </w:rPr>
            </w:pPr>
          </w:p>
          <w:p w14:paraId="1C4329D8">
            <w:pPr>
              <w:pStyle w:val="4"/>
              <w:numPr>
                <w:ilvl w:val="0"/>
                <w:numId w:val="2"/>
              </w:numPr>
            </w:pPr>
            <w:r>
              <w:rPr>
                <w:b w:val="0"/>
                <w:bCs w:val="0"/>
              </w:rPr>
              <w:t xml:space="preserve">Много добри резултати при подготовка на децата за </w:t>
            </w:r>
          </w:p>
        </w:tc>
        <w:tc>
          <w:tcPr>
            <w:tcW w:w="4395" w:type="dxa"/>
            <w:shd w:val="clear" w:color="auto" w:fill="auto"/>
          </w:tcPr>
          <w:p w14:paraId="0170FCBD">
            <w:pPr>
              <w:numPr>
                <w:ilvl w:val="0"/>
                <w:numId w:val="3"/>
              </w:num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Затруднена идентификация на деца с обучителни затруднения и невъзможност от прилагане на адекватна корекционна дейност.</w:t>
            </w:r>
          </w:p>
          <w:p w14:paraId="596647F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  <w:p w14:paraId="0D99305D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2.Увеличаващи  се прояви на агресивни нагласи сред децата.</w:t>
            </w:r>
          </w:p>
          <w:p w14:paraId="77854997">
            <w:pPr>
              <w:pStyle w:val="4"/>
              <w:spacing w:line="276" w:lineRule="auto"/>
            </w:pPr>
          </w:p>
        </w:tc>
      </w:tr>
    </w:tbl>
    <w:p w14:paraId="3AF308B1">
      <w:pPr>
        <w:spacing w:line="360" w:lineRule="auto"/>
        <w:jc w:val="both"/>
        <w:rPr>
          <w:sz w:val="24"/>
          <w:szCs w:val="24"/>
        </w:rPr>
      </w:pPr>
    </w:p>
    <w:p w14:paraId="2EBB5135">
      <w:pPr>
        <w:spacing w:line="360" w:lineRule="auto"/>
        <w:jc w:val="both"/>
        <w:rPr>
          <w:sz w:val="24"/>
          <w:szCs w:val="24"/>
        </w:rPr>
      </w:pPr>
    </w:p>
    <w:p w14:paraId="3DA7C0F0">
      <w:pPr>
        <w:numPr>
          <w:ilvl w:val="1"/>
          <w:numId w:val="1"/>
        </w:numPr>
        <w:spacing w:line="36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КАДРОВИ  РЕСУРСИ</w:t>
      </w:r>
    </w:p>
    <w:p w14:paraId="70331B60">
      <w:pPr>
        <w:jc w:val="both"/>
        <w:rPr>
          <w:sz w:val="24"/>
          <w:szCs w:val="24"/>
          <w:lang w:val="en-US" w:eastAsia="bg-BG"/>
        </w:rPr>
      </w:pPr>
      <w:r>
        <w:rPr>
          <w:sz w:val="24"/>
          <w:szCs w:val="24"/>
        </w:rPr>
        <w:t>Към изходната база за стратегията са отчетени 17 педагогически специалисти с висше образование.</w:t>
      </w:r>
      <w:r>
        <w:rPr>
          <w:sz w:val="24"/>
          <w:szCs w:val="24"/>
          <w:lang w:eastAsia="bg-BG"/>
        </w:rPr>
        <w:t xml:space="preserve"> . С висше образование -17  педагогически специалисти</w:t>
      </w:r>
    </w:p>
    <w:p w14:paraId="5EB7068C">
      <w:pPr>
        <w:autoSpaceDN w:val="0"/>
        <w:jc w:val="both"/>
        <w:textAlignment w:val="auto"/>
        <w:rPr>
          <w:sz w:val="24"/>
          <w:szCs w:val="24"/>
          <w:lang w:eastAsia="bg-BG"/>
        </w:rPr>
      </w:pPr>
      <w:r>
        <w:rPr>
          <w:sz w:val="24"/>
          <w:szCs w:val="24"/>
          <w:lang w:eastAsia="bg-BG"/>
        </w:rPr>
        <w:t>С І-во ПКС – един директор,  ІІ-ро ПКС – един учител  ,</w:t>
      </w:r>
      <w:r>
        <w:rPr>
          <w:sz w:val="24"/>
          <w:szCs w:val="24"/>
          <w:lang w:val="en-US" w:eastAsia="bg-BG"/>
        </w:rPr>
        <w:t>III—</w:t>
      </w:r>
      <w:r>
        <w:rPr>
          <w:sz w:val="24"/>
          <w:szCs w:val="24"/>
          <w:lang w:eastAsia="bg-BG"/>
        </w:rPr>
        <w:t>то ПКС- един учител,  І</w:t>
      </w:r>
      <w:r>
        <w:rPr>
          <w:sz w:val="24"/>
          <w:szCs w:val="24"/>
          <w:lang w:val="en-US" w:eastAsia="bg-BG"/>
        </w:rPr>
        <w:t>V</w:t>
      </w:r>
      <w:r>
        <w:rPr>
          <w:sz w:val="24"/>
          <w:szCs w:val="24"/>
          <w:lang w:eastAsia="bg-BG"/>
        </w:rPr>
        <w:t xml:space="preserve">-то ПКС- девет ,  V-то ПКС- </w:t>
      </w:r>
      <w:r>
        <w:rPr>
          <w:sz w:val="24"/>
          <w:szCs w:val="24"/>
          <w:lang w:val="ru-RU" w:eastAsia="bg-BG"/>
        </w:rPr>
        <w:t xml:space="preserve">двама  </w:t>
      </w:r>
      <w:r>
        <w:rPr>
          <w:sz w:val="24"/>
          <w:szCs w:val="24"/>
          <w:lang w:eastAsia="bg-BG"/>
        </w:rPr>
        <w:t>учител</w:t>
      </w:r>
      <w:r>
        <w:rPr>
          <w:sz w:val="24"/>
          <w:szCs w:val="24"/>
          <w:lang w:val="ru-RU" w:eastAsia="bg-BG"/>
        </w:rPr>
        <w:t>и</w:t>
      </w:r>
      <w:r>
        <w:rPr>
          <w:sz w:val="24"/>
          <w:szCs w:val="24"/>
          <w:lang w:eastAsia="bg-BG"/>
        </w:rPr>
        <w:t xml:space="preserve"> и без ПКС-трима учители.</w:t>
      </w:r>
    </w:p>
    <w:p w14:paraId="2D534181">
      <w:pPr>
        <w:autoSpaceDN w:val="0"/>
        <w:jc w:val="both"/>
        <w:textAlignment w:val="auto"/>
        <w:rPr>
          <w:sz w:val="24"/>
          <w:szCs w:val="24"/>
          <w:lang w:eastAsia="bg-BG"/>
        </w:rPr>
      </w:pPr>
    </w:p>
    <w:p w14:paraId="4AE3F6F3">
      <w:pPr>
        <w:autoSpaceDN w:val="0"/>
        <w:jc w:val="both"/>
        <w:textAlignment w:val="auto"/>
        <w:rPr>
          <w:b/>
          <w:i/>
          <w:sz w:val="24"/>
          <w:szCs w:val="24"/>
          <w:u w:val="single"/>
          <w:lang w:eastAsia="bg-BG"/>
        </w:rPr>
      </w:pPr>
      <w:r>
        <w:rPr>
          <w:b/>
          <w:i/>
          <w:sz w:val="24"/>
          <w:szCs w:val="24"/>
          <w:u w:val="single"/>
          <w:lang w:eastAsia="bg-BG"/>
        </w:rPr>
        <w:t xml:space="preserve">СИЛНИ СТРАНИ </w:t>
      </w:r>
    </w:p>
    <w:p w14:paraId="46476CE5">
      <w:pPr>
        <w:spacing w:line="360" w:lineRule="auto"/>
        <w:jc w:val="both"/>
        <w:rPr>
          <w:sz w:val="24"/>
          <w:szCs w:val="24"/>
        </w:rPr>
      </w:pPr>
    </w:p>
    <w:p w14:paraId="1B7C9126">
      <w:pPr>
        <w:spacing w:line="360" w:lineRule="auto"/>
        <w:jc w:val="both"/>
        <w:rPr>
          <w:sz w:val="24"/>
          <w:szCs w:val="24"/>
        </w:rPr>
      </w:pPr>
    </w:p>
    <w:tbl>
      <w:tblPr>
        <w:tblStyle w:val="10"/>
        <w:tblW w:w="95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5"/>
        <w:gridCol w:w="1294"/>
        <w:gridCol w:w="1497"/>
        <w:gridCol w:w="949"/>
        <w:gridCol w:w="1028"/>
        <w:gridCol w:w="927"/>
        <w:gridCol w:w="887"/>
        <w:gridCol w:w="859"/>
        <w:gridCol w:w="777"/>
      </w:tblGrid>
      <w:tr w14:paraId="3A440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5" w:type="dxa"/>
          </w:tcPr>
          <w:p w14:paraId="3DA40C22">
            <w:pPr>
              <w:widowControl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Длъжност</w:t>
            </w:r>
          </w:p>
        </w:tc>
        <w:tc>
          <w:tcPr>
            <w:tcW w:w="1294" w:type="dxa"/>
          </w:tcPr>
          <w:p w14:paraId="0454B76E">
            <w:pPr>
              <w:widowControl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Численост</w:t>
            </w:r>
          </w:p>
        </w:tc>
        <w:tc>
          <w:tcPr>
            <w:tcW w:w="1497" w:type="dxa"/>
          </w:tcPr>
          <w:p w14:paraId="4DEB90D3">
            <w:pPr>
              <w:widowControl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Обр. степен</w:t>
            </w:r>
          </w:p>
        </w:tc>
        <w:tc>
          <w:tcPr>
            <w:tcW w:w="949" w:type="dxa"/>
          </w:tcPr>
          <w:p w14:paraId="7D735A62">
            <w:pPr>
              <w:widowControl w:val="0"/>
              <w:numPr>
                <w:ilvl w:val="0"/>
                <w:numId w:val="4"/>
              </w:num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</w:t>
            </w:r>
          </w:p>
          <w:p w14:paraId="35D612D1">
            <w:pPr>
              <w:widowControl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ПКС</w:t>
            </w:r>
          </w:p>
        </w:tc>
        <w:tc>
          <w:tcPr>
            <w:tcW w:w="1028" w:type="dxa"/>
          </w:tcPr>
          <w:p w14:paraId="44D39E88">
            <w:pPr>
              <w:widowControl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II-</w:t>
            </w:r>
            <w:r>
              <w:rPr>
                <w:sz w:val="24"/>
                <w:szCs w:val="24"/>
              </w:rPr>
              <w:t>ро</w:t>
            </w:r>
          </w:p>
          <w:p w14:paraId="3920045C">
            <w:pPr>
              <w:widowControl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ПКС</w:t>
            </w:r>
          </w:p>
        </w:tc>
        <w:tc>
          <w:tcPr>
            <w:tcW w:w="927" w:type="dxa"/>
          </w:tcPr>
          <w:p w14:paraId="49E482B0">
            <w:pPr>
              <w:widowControl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 -</w:t>
            </w:r>
            <w:r>
              <w:rPr>
                <w:sz w:val="24"/>
                <w:szCs w:val="24"/>
              </w:rPr>
              <w:t>то</w:t>
            </w:r>
          </w:p>
          <w:p w14:paraId="5038DC18">
            <w:pPr>
              <w:widowControl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ПКС</w:t>
            </w:r>
          </w:p>
        </w:tc>
        <w:tc>
          <w:tcPr>
            <w:tcW w:w="887" w:type="dxa"/>
          </w:tcPr>
          <w:p w14:paraId="036ED3DC">
            <w:pPr>
              <w:widowControl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IV</w:t>
            </w:r>
            <w:r>
              <w:rPr>
                <w:sz w:val="24"/>
                <w:szCs w:val="24"/>
              </w:rPr>
              <w:t>-то</w:t>
            </w:r>
          </w:p>
          <w:p w14:paraId="276F7CC0">
            <w:pPr>
              <w:widowControl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ПКС</w:t>
            </w:r>
          </w:p>
        </w:tc>
        <w:tc>
          <w:tcPr>
            <w:tcW w:w="859" w:type="dxa"/>
          </w:tcPr>
          <w:p w14:paraId="7B287571">
            <w:pPr>
              <w:widowControl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</w:rPr>
              <w:t>-то</w:t>
            </w:r>
          </w:p>
          <w:p w14:paraId="03F79026">
            <w:pPr>
              <w:widowControl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ПКС</w:t>
            </w:r>
          </w:p>
        </w:tc>
        <w:tc>
          <w:tcPr>
            <w:tcW w:w="777" w:type="dxa"/>
          </w:tcPr>
          <w:p w14:paraId="79CFFF87">
            <w:pPr>
              <w:widowControl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</w:t>
            </w:r>
          </w:p>
          <w:p w14:paraId="15131432">
            <w:pPr>
              <w:widowControl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ПКС</w:t>
            </w:r>
          </w:p>
        </w:tc>
      </w:tr>
      <w:tr w14:paraId="4D79E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5" w:type="dxa"/>
          </w:tcPr>
          <w:p w14:paraId="7048AA3C">
            <w:pPr>
              <w:widowControl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1294" w:type="dxa"/>
          </w:tcPr>
          <w:p w14:paraId="2B92D4DE">
            <w:pPr>
              <w:widowControl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97" w:type="dxa"/>
          </w:tcPr>
          <w:p w14:paraId="1FF1D89B">
            <w:pPr>
              <w:widowControl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Магистър</w:t>
            </w:r>
          </w:p>
        </w:tc>
        <w:tc>
          <w:tcPr>
            <w:tcW w:w="949" w:type="dxa"/>
          </w:tcPr>
          <w:p w14:paraId="12C777D5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✔</w:t>
            </w:r>
          </w:p>
        </w:tc>
        <w:tc>
          <w:tcPr>
            <w:tcW w:w="1028" w:type="dxa"/>
          </w:tcPr>
          <w:p w14:paraId="6A3FE491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927" w:type="dxa"/>
          </w:tcPr>
          <w:p w14:paraId="65D03754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887" w:type="dxa"/>
          </w:tcPr>
          <w:p w14:paraId="7370DA81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859" w:type="dxa"/>
          </w:tcPr>
          <w:p w14:paraId="31809BBB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777" w:type="dxa"/>
          </w:tcPr>
          <w:p w14:paraId="4821490F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14:paraId="30C45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5" w:type="dxa"/>
          </w:tcPr>
          <w:p w14:paraId="45BCC5B9">
            <w:pPr>
              <w:widowControl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Гл. учител</w:t>
            </w:r>
          </w:p>
        </w:tc>
        <w:tc>
          <w:tcPr>
            <w:tcW w:w="1294" w:type="dxa"/>
          </w:tcPr>
          <w:p w14:paraId="2F715B65">
            <w:pPr>
              <w:widowControl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97" w:type="dxa"/>
          </w:tcPr>
          <w:p w14:paraId="7421BC46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Магистър</w:t>
            </w:r>
          </w:p>
        </w:tc>
        <w:tc>
          <w:tcPr>
            <w:tcW w:w="949" w:type="dxa"/>
          </w:tcPr>
          <w:p w14:paraId="78616EFE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028" w:type="dxa"/>
          </w:tcPr>
          <w:p w14:paraId="010879BE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927" w:type="dxa"/>
          </w:tcPr>
          <w:p w14:paraId="5BD50E10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887" w:type="dxa"/>
          </w:tcPr>
          <w:p w14:paraId="1139C494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859" w:type="dxa"/>
          </w:tcPr>
          <w:p w14:paraId="72E1E515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777" w:type="dxa"/>
          </w:tcPr>
          <w:p w14:paraId="74C946C4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14:paraId="6E08D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5" w:type="dxa"/>
          </w:tcPr>
          <w:p w14:paraId="5906A577">
            <w:pPr>
              <w:widowControl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Ст. учител</w:t>
            </w:r>
          </w:p>
        </w:tc>
        <w:tc>
          <w:tcPr>
            <w:tcW w:w="1294" w:type="dxa"/>
          </w:tcPr>
          <w:p w14:paraId="7167C7E5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497" w:type="dxa"/>
          </w:tcPr>
          <w:p w14:paraId="2E73C4EF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Магистър</w:t>
            </w:r>
          </w:p>
        </w:tc>
        <w:tc>
          <w:tcPr>
            <w:tcW w:w="949" w:type="dxa"/>
          </w:tcPr>
          <w:p w14:paraId="3064DAE9">
            <w:pPr>
              <w:widowControl w:val="0"/>
              <w:spacing w:line="360" w:lineRule="auto"/>
              <w:jc w:val="both"/>
              <w:rPr>
                <w:rFonts w:hint="default"/>
                <w:sz w:val="24"/>
                <w:szCs w:val="24"/>
                <w:lang w:val="bg-BG"/>
              </w:rPr>
            </w:pPr>
          </w:p>
        </w:tc>
        <w:tc>
          <w:tcPr>
            <w:tcW w:w="1028" w:type="dxa"/>
          </w:tcPr>
          <w:p w14:paraId="6FF1C963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✔</w:t>
            </w:r>
          </w:p>
        </w:tc>
        <w:tc>
          <w:tcPr>
            <w:tcW w:w="927" w:type="dxa"/>
          </w:tcPr>
          <w:p w14:paraId="097AF915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887" w:type="dxa"/>
          </w:tcPr>
          <w:p w14:paraId="10384218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859" w:type="dxa"/>
          </w:tcPr>
          <w:p w14:paraId="1DA02C32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777" w:type="dxa"/>
          </w:tcPr>
          <w:p w14:paraId="57BB3730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14:paraId="73742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5" w:type="dxa"/>
          </w:tcPr>
          <w:p w14:paraId="61752C4C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Ст. учител</w:t>
            </w:r>
          </w:p>
        </w:tc>
        <w:tc>
          <w:tcPr>
            <w:tcW w:w="1294" w:type="dxa"/>
          </w:tcPr>
          <w:p w14:paraId="1420A92B">
            <w:pPr>
              <w:widowControl w:val="0"/>
              <w:spacing w:line="360" w:lineRule="auto"/>
              <w:jc w:val="both"/>
              <w:rPr>
                <w:rFonts w:hint="default"/>
                <w:sz w:val="24"/>
                <w:szCs w:val="24"/>
                <w:lang w:val="bg-BG"/>
              </w:rPr>
            </w:pPr>
            <w:r>
              <w:rPr>
                <w:rFonts w:hint="default"/>
                <w:sz w:val="24"/>
                <w:szCs w:val="24"/>
                <w:lang w:val="bg-BG"/>
              </w:rPr>
              <w:t>2</w:t>
            </w:r>
          </w:p>
        </w:tc>
        <w:tc>
          <w:tcPr>
            <w:tcW w:w="1497" w:type="dxa"/>
          </w:tcPr>
          <w:p w14:paraId="6AAD7CAC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Магистър</w:t>
            </w:r>
          </w:p>
        </w:tc>
        <w:tc>
          <w:tcPr>
            <w:tcW w:w="949" w:type="dxa"/>
          </w:tcPr>
          <w:p w14:paraId="5144611C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028" w:type="dxa"/>
          </w:tcPr>
          <w:p w14:paraId="05A98798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927" w:type="dxa"/>
          </w:tcPr>
          <w:p w14:paraId="4302D01E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✔</w:t>
            </w:r>
          </w:p>
        </w:tc>
        <w:tc>
          <w:tcPr>
            <w:tcW w:w="887" w:type="dxa"/>
          </w:tcPr>
          <w:p w14:paraId="5827DE63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859" w:type="dxa"/>
          </w:tcPr>
          <w:p w14:paraId="69E963CB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777" w:type="dxa"/>
          </w:tcPr>
          <w:p w14:paraId="487B64B0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14:paraId="30846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5" w:type="dxa"/>
          </w:tcPr>
          <w:p w14:paraId="2D9ADE0D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Ст. учител</w:t>
            </w:r>
          </w:p>
        </w:tc>
        <w:tc>
          <w:tcPr>
            <w:tcW w:w="1294" w:type="dxa"/>
          </w:tcPr>
          <w:p w14:paraId="3167147A">
            <w:pPr>
              <w:widowControl w:val="0"/>
              <w:spacing w:line="360" w:lineRule="auto"/>
              <w:jc w:val="both"/>
              <w:rPr>
                <w:rFonts w:hint="default"/>
                <w:sz w:val="24"/>
                <w:szCs w:val="24"/>
                <w:lang w:val="bg-BG"/>
              </w:rPr>
            </w:pPr>
            <w:r>
              <w:rPr>
                <w:rFonts w:hint="default"/>
                <w:sz w:val="24"/>
                <w:szCs w:val="24"/>
                <w:lang w:val="bg-BG"/>
              </w:rPr>
              <w:t>5</w:t>
            </w:r>
          </w:p>
        </w:tc>
        <w:tc>
          <w:tcPr>
            <w:tcW w:w="1497" w:type="dxa"/>
          </w:tcPr>
          <w:p w14:paraId="1A2C27BA">
            <w:pPr>
              <w:widowControl w:val="0"/>
              <w:spacing w:line="360" w:lineRule="auto"/>
              <w:jc w:val="both"/>
              <w:rPr>
                <w:rFonts w:hint="default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Бакалавър</w:t>
            </w:r>
          </w:p>
        </w:tc>
        <w:tc>
          <w:tcPr>
            <w:tcW w:w="949" w:type="dxa"/>
          </w:tcPr>
          <w:p w14:paraId="0A0E5F5F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028" w:type="dxa"/>
          </w:tcPr>
          <w:p w14:paraId="6EF03615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927" w:type="dxa"/>
          </w:tcPr>
          <w:p w14:paraId="09BF6AC9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887" w:type="dxa"/>
          </w:tcPr>
          <w:p w14:paraId="43FDBC40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✔</w:t>
            </w:r>
          </w:p>
        </w:tc>
        <w:tc>
          <w:tcPr>
            <w:tcW w:w="859" w:type="dxa"/>
          </w:tcPr>
          <w:p w14:paraId="546FA13A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777" w:type="dxa"/>
          </w:tcPr>
          <w:p w14:paraId="32BFB859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14:paraId="300B2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5" w:type="dxa"/>
          </w:tcPr>
          <w:p w14:paraId="3C533D24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Ст. учител</w:t>
            </w:r>
          </w:p>
        </w:tc>
        <w:tc>
          <w:tcPr>
            <w:tcW w:w="1294" w:type="dxa"/>
          </w:tcPr>
          <w:p w14:paraId="1A5D6912">
            <w:pPr>
              <w:widowControl w:val="0"/>
              <w:spacing w:line="360" w:lineRule="auto"/>
              <w:jc w:val="both"/>
              <w:rPr>
                <w:rFonts w:hint="default"/>
                <w:sz w:val="24"/>
                <w:szCs w:val="24"/>
                <w:lang w:val="bg-BG"/>
              </w:rPr>
            </w:pPr>
            <w:r>
              <w:rPr>
                <w:rFonts w:hint="default"/>
                <w:sz w:val="24"/>
                <w:szCs w:val="24"/>
                <w:lang w:val="bg-BG"/>
              </w:rPr>
              <w:t>1</w:t>
            </w:r>
          </w:p>
        </w:tc>
        <w:tc>
          <w:tcPr>
            <w:tcW w:w="1497" w:type="dxa"/>
          </w:tcPr>
          <w:p w14:paraId="756AB9AE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Магистър</w:t>
            </w:r>
          </w:p>
        </w:tc>
        <w:tc>
          <w:tcPr>
            <w:tcW w:w="949" w:type="dxa"/>
          </w:tcPr>
          <w:p w14:paraId="13B3E40F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028" w:type="dxa"/>
          </w:tcPr>
          <w:p w14:paraId="274EDBFF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927" w:type="dxa"/>
          </w:tcPr>
          <w:p w14:paraId="515DA5E1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887" w:type="dxa"/>
          </w:tcPr>
          <w:p w14:paraId="4C79236B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✔</w:t>
            </w:r>
          </w:p>
        </w:tc>
        <w:tc>
          <w:tcPr>
            <w:tcW w:w="859" w:type="dxa"/>
          </w:tcPr>
          <w:p w14:paraId="074A5675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777" w:type="dxa"/>
          </w:tcPr>
          <w:p w14:paraId="11A6F6DD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14:paraId="20CDB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5" w:type="dxa"/>
          </w:tcPr>
          <w:p w14:paraId="11025308">
            <w:pPr>
              <w:widowControl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</w:t>
            </w:r>
          </w:p>
        </w:tc>
        <w:tc>
          <w:tcPr>
            <w:tcW w:w="1294" w:type="dxa"/>
          </w:tcPr>
          <w:p w14:paraId="5A0A607C">
            <w:pPr>
              <w:widowControl w:val="0"/>
              <w:spacing w:line="360" w:lineRule="auto"/>
              <w:jc w:val="both"/>
              <w:rPr>
                <w:rFonts w:hint="default"/>
                <w:sz w:val="24"/>
                <w:szCs w:val="24"/>
                <w:lang w:val="bg-BG"/>
              </w:rPr>
            </w:pPr>
            <w:r>
              <w:rPr>
                <w:rFonts w:hint="default"/>
                <w:sz w:val="24"/>
                <w:szCs w:val="24"/>
                <w:lang w:val="bg-BG"/>
              </w:rPr>
              <w:t>1</w:t>
            </w:r>
          </w:p>
        </w:tc>
        <w:tc>
          <w:tcPr>
            <w:tcW w:w="1497" w:type="dxa"/>
          </w:tcPr>
          <w:p w14:paraId="4D5DB6A9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Магистър</w:t>
            </w:r>
          </w:p>
        </w:tc>
        <w:tc>
          <w:tcPr>
            <w:tcW w:w="949" w:type="dxa"/>
          </w:tcPr>
          <w:p w14:paraId="142C44B0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028" w:type="dxa"/>
          </w:tcPr>
          <w:p w14:paraId="3B6589DE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927" w:type="dxa"/>
          </w:tcPr>
          <w:p w14:paraId="7533EC93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887" w:type="dxa"/>
          </w:tcPr>
          <w:p w14:paraId="7C149704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859" w:type="dxa"/>
          </w:tcPr>
          <w:p w14:paraId="2345BA5E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✔</w:t>
            </w:r>
          </w:p>
        </w:tc>
        <w:tc>
          <w:tcPr>
            <w:tcW w:w="777" w:type="dxa"/>
          </w:tcPr>
          <w:p w14:paraId="349D0B45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14:paraId="4361E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5" w:type="dxa"/>
          </w:tcPr>
          <w:p w14:paraId="78799931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Учител</w:t>
            </w:r>
          </w:p>
        </w:tc>
        <w:tc>
          <w:tcPr>
            <w:tcW w:w="1294" w:type="dxa"/>
          </w:tcPr>
          <w:p w14:paraId="485853FF">
            <w:pPr>
              <w:widowControl w:val="0"/>
              <w:spacing w:line="360" w:lineRule="auto"/>
              <w:jc w:val="both"/>
              <w:rPr>
                <w:rFonts w:hint="default"/>
                <w:sz w:val="24"/>
                <w:szCs w:val="24"/>
                <w:lang w:val="bg-BG"/>
              </w:rPr>
            </w:pPr>
            <w:r>
              <w:rPr>
                <w:rFonts w:hint="default"/>
                <w:sz w:val="24"/>
                <w:szCs w:val="24"/>
                <w:lang w:val="bg-BG"/>
              </w:rPr>
              <w:t>2</w:t>
            </w:r>
          </w:p>
        </w:tc>
        <w:tc>
          <w:tcPr>
            <w:tcW w:w="1497" w:type="dxa"/>
          </w:tcPr>
          <w:p w14:paraId="1CB4FA08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Магистър</w:t>
            </w:r>
          </w:p>
        </w:tc>
        <w:tc>
          <w:tcPr>
            <w:tcW w:w="949" w:type="dxa"/>
          </w:tcPr>
          <w:p w14:paraId="54DEFFF1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028" w:type="dxa"/>
          </w:tcPr>
          <w:p w14:paraId="113E3220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927" w:type="dxa"/>
          </w:tcPr>
          <w:p w14:paraId="5F3A5061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887" w:type="dxa"/>
          </w:tcPr>
          <w:p w14:paraId="03C2C79E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✔</w:t>
            </w:r>
          </w:p>
        </w:tc>
        <w:tc>
          <w:tcPr>
            <w:tcW w:w="859" w:type="dxa"/>
          </w:tcPr>
          <w:p w14:paraId="09A809BF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777" w:type="dxa"/>
          </w:tcPr>
          <w:p w14:paraId="1F203FB8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14:paraId="78663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5" w:type="dxa"/>
          </w:tcPr>
          <w:p w14:paraId="46D5E9CB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Учител</w:t>
            </w:r>
          </w:p>
        </w:tc>
        <w:tc>
          <w:tcPr>
            <w:tcW w:w="1294" w:type="dxa"/>
          </w:tcPr>
          <w:p w14:paraId="2C60127F">
            <w:pPr>
              <w:widowControl w:val="0"/>
              <w:spacing w:line="360" w:lineRule="auto"/>
              <w:jc w:val="both"/>
              <w:rPr>
                <w:rFonts w:hint="default"/>
                <w:sz w:val="24"/>
                <w:szCs w:val="24"/>
                <w:lang w:val="bg-BG"/>
              </w:rPr>
            </w:pPr>
            <w:r>
              <w:rPr>
                <w:rFonts w:hint="default"/>
                <w:sz w:val="24"/>
                <w:szCs w:val="24"/>
                <w:lang w:val="bg-BG"/>
              </w:rPr>
              <w:t>3</w:t>
            </w:r>
          </w:p>
        </w:tc>
        <w:tc>
          <w:tcPr>
            <w:tcW w:w="1497" w:type="dxa"/>
          </w:tcPr>
          <w:p w14:paraId="5503F53D">
            <w:pPr>
              <w:widowControl w:val="0"/>
              <w:spacing w:line="360" w:lineRule="auto"/>
              <w:jc w:val="both"/>
              <w:rPr>
                <w:rFonts w:hint="default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Магистър</w:t>
            </w:r>
          </w:p>
        </w:tc>
        <w:tc>
          <w:tcPr>
            <w:tcW w:w="949" w:type="dxa"/>
          </w:tcPr>
          <w:p w14:paraId="0057820A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028" w:type="dxa"/>
          </w:tcPr>
          <w:p w14:paraId="39A1CF99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927" w:type="dxa"/>
          </w:tcPr>
          <w:p w14:paraId="2D141F40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887" w:type="dxa"/>
          </w:tcPr>
          <w:p w14:paraId="21FFC5E0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859" w:type="dxa"/>
          </w:tcPr>
          <w:p w14:paraId="3BB94732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777" w:type="dxa"/>
          </w:tcPr>
          <w:p w14:paraId="12C63054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✔</w:t>
            </w:r>
          </w:p>
        </w:tc>
      </w:tr>
    </w:tbl>
    <w:p w14:paraId="29A44A12">
      <w:pPr>
        <w:spacing w:line="360" w:lineRule="auto"/>
        <w:jc w:val="both"/>
        <w:rPr>
          <w:sz w:val="24"/>
          <w:szCs w:val="24"/>
          <w:lang w:val="en-US"/>
        </w:rPr>
      </w:pPr>
    </w:p>
    <w:p w14:paraId="5C21925C">
      <w:pPr>
        <w:spacing w:line="360" w:lineRule="auto"/>
        <w:jc w:val="both"/>
        <w:rPr>
          <w:sz w:val="24"/>
          <w:szCs w:val="24"/>
          <w:lang w:val="en-US"/>
        </w:rPr>
      </w:pPr>
    </w:p>
    <w:p w14:paraId="4CB06B30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Непедагогически персонал:</w:t>
      </w:r>
    </w:p>
    <w:p w14:paraId="7FFB2D11">
      <w:pPr>
        <w:spacing w:line="360" w:lineRule="auto"/>
        <w:jc w:val="both"/>
        <w:rPr>
          <w:b/>
          <w:bCs/>
          <w:sz w:val="24"/>
          <w:szCs w:val="24"/>
        </w:rPr>
      </w:pPr>
    </w:p>
    <w:tbl>
      <w:tblPr>
        <w:tblStyle w:val="10"/>
        <w:tblW w:w="85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3"/>
        <w:gridCol w:w="927"/>
        <w:gridCol w:w="1446"/>
        <w:gridCol w:w="949"/>
        <w:gridCol w:w="1151"/>
        <w:gridCol w:w="1268"/>
        <w:gridCol w:w="1091"/>
      </w:tblGrid>
      <w:tr w14:paraId="4F6F5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3" w:type="dxa"/>
          </w:tcPr>
          <w:p w14:paraId="27E32F80">
            <w:pPr>
              <w:widowControl w:val="0"/>
              <w:spacing w:line="360" w:lineRule="auto"/>
              <w:jc w:val="both"/>
              <w:rPr>
                <w:szCs w:val="22"/>
              </w:rPr>
            </w:pPr>
            <w:r>
              <w:rPr>
                <w:szCs w:val="22"/>
              </w:rPr>
              <w:t>Длъжност</w:t>
            </w:r>
          </w:p>
        </w:tc>
        <w:tc>
          <w:tcPr>
            <w:tcW w:w="927" w:type="dxa"/>
          </w:tcPr>
          <w:p w14:paraId="21E3A6B3">
            <w:pPr>
              <w:widowControl w:val="0"/>
              <w:spacing w:line="360" w:lineRule="auto"/>
              <w:jc w:val="both"/>
              <w:rPr>
                <w:szCs w:val="22"/>
              </w:rPr>
            </w:pPr>
            <w:r>
              <w:rPr>
                <w:szCs w:val="22"/>
              </w:rPr>
              <w:t>Брой</w:t>
            </w:r>
          </w:p>
        </w:tc>
        <w:tc>
          <w:tcPr>
            <w:tcW w:w="1446" w:type="dxa"/>
          </w:tcPr>
          <w:p w14:paraId="30B9FBE5">
            <w:pPr>
              <w:widowControl w:val="0"/>
              <w:spacing w:line="360" w:lineRule="auto"/>
              <w:jc w:val="both"/>
              <w:rPr>
                <w:szCs w:val="22"/>
              </w:rPr>
            </w:pPr>
            <w:r>
              <w:rPr>
                <w:szCs w:val="22"/>
              </w:rPr>
              <w:t>Обр. степен</w:t>
            </w:r>
          </w:p>
        </w:tc>
        <w:tc>
          <w:tcPr>
            <w:tcW w:w="949" w:type="dxa"/>
          </w:tcPr>
          <w:p w14:paraId="65CE8416">
            <w:pPr>
              <w:widowControl w:val="0"/>
              <w:spacing w:line="36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до 35 г</w:t>
            </w:r>
          </w:p>
        </w:tc>
        <w:tc>
          <w:tcPr>
            <w:tcW w:w="1151" w:type="dxa"/>
          </w:tcPr>
          <w:p w14:paraId="16168F60">
            <w:pPr>
              <w:widowControl w:val="0"/>
              <w:spacing w:line="36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от 36 - 45</w:t>
            </w:r>
          </w:p>
        </w:tc>
        <w:tc>
          <w:tcPr>
            <w:tcW w:w="1268" w:type="dxa"/>
          </w:tcPr>
          <w:p w14:paraId="58845942">
            <w:pPr>
              <w:widowControl w:val="0"/>
              <w:spacing w:line="36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от 46 -55 г.</w:t>
            </w:r>
          </w:p>
        </w:tc>
        <w:tc>
          <w:tcPr>
            <w:tcW w:w="1091" w:type="dxa"/>
          </w:tcPr>
          <w:p w14:paraId="4E94F209">
            <w:pPr>
              <w:widowControl w:val="0"/>
              <w:spacing w:line="36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над 55 г.</w:t>
            </w:r>
          </w:p>
        </w:tc>
      </w:tr>
      <w:tr w14:paraId="67A66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3" w:type="dxa"/>
          </w:tcPr>
          <w:p w14:paraId="09B59A87">
            <w:pPr>
              <w:widowControl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Гл. счетоводител</w:t>
            </w:r>
          </w:p>
        </w:tc>
        <w:tc>
          <w:tcPr>
            <w:tcW w:w="927" w:type="dxa"/>
          </w:tcPr>
          <w:p w14:paraId="2A54A4AE">
            <w:pPr>
              <w:widowControl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46" w:type="dxa"/>
          </w:tcPr>
          <w:p w14:paraId="07B581B4">
            <w:pPr>
              <w:widowControl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Магистър</w:t>
            </w:r>
          </w:p>
        </w:tc>
        <w:tc>
          <w:tcPr>
            <w:tcW w:w="949" w:type="dxa"/>
          </w:tcPr>
          <w:p w14:paraId="26B4091A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151" w:type="dxa"/>
          </w:tcPr>
          <w:p w14:paraId="03074C87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✔</w:t>
            </w:r>
          </w:p>
        </w:tc>
        <w:tc>
          <w:tcPr>
            <w:tcW w:w="1268" w:type="dxa"/>
          </w:tcPr>
          <w:p w14:paraId="3CF3D502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091" w:type="dxa"/>
          </w:tcPr>
          <w:p w14:paraId="24E9CDDD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14:paraId="6C0F9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3" w:type="dxa"/>
          </w:tcPr>
          <w:p w14:paraId="7106B27B">
            <w:pPr>
              <w:widowControl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</w:t>
            </w:r>
          </w:p>
        </w:tc>
        <w:tc>
          <w:tcPr>
            <w:tcW w:w="927" w:type="dxa"/>
          </w:tcPr>
          <w:p w14:paraId="20F76A3C">
            <w:pPr>
              <w:widowControl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46" w:type="dxa"/>
          </w:tcPr>
          <w:p w14:paraId="0D87DFF7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949" w:type="dxa"/>
          </w:tcPr>
          <w:p w14:paraId="06301DB5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151" w:type="dxa"/>
          </w:tcPr>
          <w:p w14:paraId="3D114134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268" w:type="dxa"/>
          </w:tcPr>
          <w:p w14:paraId="6B43797B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✔</w:t>
            </w:r>
          </w:p>
        </w:tc>
        <w:tc>
          <w:tcPr>
            <w:tcW w:w="1091" w:type="dxa"/>
          </w:tcPr>
          <w:p w14:paraId="4A361D72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14:paraId="68532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3" w:type="dxa"/>
          </w:tcPr>
          <w:p w14:paraId="76981206">
            <w:pPr>
              <w:widowControl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Домакин</w:t>
            </w:r>
          </w:p>
        </w:tc>
        <w:tc>
          <w:tcPr>
            <w:tcW w:w="927" w:type="dxa"/>
          </w:tcPr>
          <w:p w14:paraId="244EFF2B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446" w:type="dxa"/>
          </w:tcPr>
          <w:p w14:paraId="739F2A83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Магистър</w:t>
            </w:r>
          </w:p>
        </w:tc>
        <w:tc>
          <w:tcPr>
            <w:tcW w:w="949" w:type="dxa"/>
          </w:tcPr>
          <w:p w14:paraId="1248730A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151" w:type="dxa"/>
          </w:tcPr>
          <w:p w14:paraId="459B7456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✔</w:t>
            </w:r>
          </w:p>
        </w:tc>
        <w:tc>
          <w:tcPr>
            <w:tcW w:w="1268" w:type="dxa"/>
          </w:tcPr>
          <w:p w14:paraId="7FBC2F65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091" w:type="dxa"/>
          </w:tcPr>
          <w:p w14:paraId="2A559E88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14:paraId="09ED5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3" w:type="dxa"/>
          </w:tcPr>
          <w:p w14:paraId="76CCD150">
            <w:pPr>
              <w:widowControl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Пом. възпитател</w:t>
            </w:r>
          </w:p>
        </w:tc>
        <w:tc>
          <w:tcPr>
            <w:tcW w:w="927" w:type="dxa"/>
          </w:tcPr>
          <w:p w14:paraId="5DECECCB">
            <w:pPr>
              <w:widowControl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46" w:type="dxa"/>
          </w:tcPr>
          <w:p w14:paraId="6D1809C7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Магистър</w:t>
            </w:r>
          </w:p>
        </w:tc>
        <w:tc>
          <w:tcPr>
            <w:tcW w:w="949" w:type="dxa"/>
          </w:tcPr>
          <w:p w14:paraId="02A4A3F3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151" w:type="dxa"/>
          </w:tcPr>
          <w:p w14:paraId="3AF24AA4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✔</w:t>
            </w:r>
          </w:p>
        </w:tc>
        <w:tc>
          <w:tcPr>
            <w:tcW w:w="1268" w:type="dxa"/>
          </w:tcPr>
          <w:p w14:paraId="6D27E88A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091" w:type="dxa"/>
          </w:tcPr>
          <w:p w14:paraId="6D191BA5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14:paraId="093CB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3" w:type="dxa"/>
          </w:tcPr>
          <w:p w14:paraId="1DF8C78D">
            <w:pPr>
              <w:widowControl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Пом. възпитател</w:t>
            </w:r>
          </w:p>
        </w:tc>
        <w:tc>
          <w:tcPr>
            <w:tcW w:w="927" w:type="dxa"/>
          </w:tcPr>
          <w:p w14:paraId="19C263ED">
            <w:pPr>
              <w:widowControl w:val="0"/>
              <w:spacing w:line="360" w:lineRule="auto"/>
              <w:jc w:val="both"/>
              <w:rPr>
                <w:rFonts w:hint="default"/>
                <w:sz w:val="24"/>
                <w:szCs w:val="24"/>
                <w:lang w:val="bg-BG"/>
              </w:rPr>
            </w:pPr>
            <w:r>
              <w:rPr>
                <w:rFonts w:hint="default"/>
                <w:sz w:val="24"/>
                <w:szCs w:val="24"/>
                <w:lang w:val="bg-BG"/>
              </w:rPr>
              <w:t>7</w:t>
            </w:r>
          </w:p>
        </w:tc>
        <w:tc>
          <w:tcPr>
            <w:tcW w:w="1446" w:type="dxa"/>
          </w:tcPr>
          <w:p w14:paraId="076DB179">
            <w:pPr>
              <w:widowControl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Средно</w:t>
            </w:r>
          </w:p>
        </w:tc>
        <w:tc>
          <w:tcPr>
            <w:tcW w:w="949" w:type="dxa"/>
          </w:tcPr>
          <w:p w14:paraId="31B91334">
            <w:pPr>
              <w:widowControl w:val="0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51" w:type="dxa"/>
          </w:tcPr>
          <w:p w14:paraId="584CDE19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268" w:type="dxa"/>
          </w:tcPr>
          <w:p w14:paraId="7878A235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✔</w:t>
            </w:r>
          </w:p>
        </w:tc>
        <w:tc>
          <w:tcPr>
            <w:tcW w:w="1091" w:type="dxa"/>
          </w:tcPr>
          <w:p w14:paraId="2A3168C8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14:paraId="37202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3" w:type="dxa"/>
          </w:tcPr>
          <w:p w14:paraId="087CB7D5">
            <w:pPr>
              <w:widowControl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Готвач</w:t>
            </w:r>
          </w:p>
        </w:tc>
        <w:tc>
          <w:tcPr>
            <w:tcW w:w="927" w:type="dxa"/>
          </w:tcPr>
          <w:p w14:paraId="4D0C1A71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446" w:type="dxa"/>
          </w:tcPr>
          <w:p w14:paraId="0D21CFFC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Магистър</w:t>
            </w:r>
          </w:p>
        </w:tc>
        <w:tc>
          <w:tcPr>
            <w:tcW w:w="949" w:type="dxa"/>
          </w:tcPr>
          <w:p w14:paraId="02865DE3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151" w:type="dxa"/>
          </w:tcPr>
          <w:p w14:paraId="5F0CF946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✔</w:t>
            </w:r>
          </w:p>
        </w:tc>
        <w:tc>
          <w:tcPr>
            <w:tcW w:w="1268" w:type="dxa"/>
          </w:tcPr>
          <w:p w14:paraId="3F01B15B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091" w:type="dxa"/>
          </w:tcPr>
          <w:p w14:paraId="68217DB4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14:paraId="284B6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3" w:type="dxa"/>
          </w:tcPr>
          <w:p w14:paraId="556EE328">
            <w:pPr>
              <w:widowControl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Готвач</w:t>
            </w:r>
          </w:p>
        </w:tc>
        <w:tc>
          <w:tcPr>
            <w:tcW w:w="927" w:type="dxa"/>
          </w:tcPr>
          <w:p w14:paraId="293EE80D">
            <w:pPr>
              <w:widowControl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46" w:type="dxa"/>
          </w:tcPr>
          <w:p w14:paraId="3F9299FC">
            <w:pPr>
              <w:widowControl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Средно</w:t>
            </w:r>
          </w:p>
        </w:tc>
        <w:tc>
          <w:tcPr>
            <w:tcW w:w="949" w:type="dxa"/>
          </w:tcPr>
          <w:p w14:paraId="58152992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151" w:type="dxa"/>
          </w:tcPr>
          <w:p w14:paraId="7124ED67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268" w:type="dxa"/>
          </w:tcPr>
          <w:p w14:paraId="13740DBE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091" w:type="dxa"/>
          </w:tcPr>
          <w:p w14:paraId="32550825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✔</w:t>
            </w:r>
          </w:p>
        </w:tc>
      </w:tr>
      <w:tr w14:paraId="60C55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3" w:type="dxa"/>
          </w:tcPr>
          <w:p w14:paraId="21193725">
            <w:pPr>
              <w:widowControl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Оняр</w:t>
            </w:r>
          </w:p>
        </w:tc>
        <w:tc>
          <w:tcPr>
            <w:tcW w:w="927" w:type="dxa"/>
          </w:tcPr>
          <w:p w14:paraId="5FE0324B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446" w:type="dxa"/>
          </w:tcPr>
          <w:p w14:paraId="252CCBDF">
            <w:pPr>
              <w:widowControl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Средно</w:t>
            </w:r>
          </w:p>
        </w:tc>
        <w:tc>
          <w:tcPr>
            <w:tcW w:w="949" w:type="dxa"/>
          </w:tcPr>
          <w:p w14:paraId="7E666354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151" w:type="dxa"/>
          </w:tcPr>
          <w:p w14:paraId="0441CC35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268" w:type="dxa"/>
          </w:tcPr>
          <w:p w14:paraId="361D982A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091" w:type="dxa"/>
          </w:tcPr>
          <w:p w14:paraId="0C40413F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✔</w:t>
            </w:r>
          </w:p>
        </w:tc>
      </w:tr>
      <w:tr w14:paraId="41BDF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3" w:type="dxa"/>
          </w:tcPr>
          <w:p w14:paraId="0E954C76">
            <w:pPr>
              <w:widowControl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Озеленител</w:t>
            </w:r>
          </w:p>
        </w:tc>
        <w:tc>
          <w:tcPr>
            <w:tcW w:w="927" w:type="dxa"/>
          </w:tcPr>
          <w:p w14:paraId="0664FD15">
            <w:pPr>
              <w:widowControl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46" w:type="dxa"/>
          </w:tcPr>
          <w:p w14:paraId="2CA4F3FD">
            <w:pPr>
              <w:widowControl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Средно</w:t>
            </w:r>
          </w:p>
        </w:tc>
        <w:tc>
          <w:tcPr>
            <w:tcW w:w="949" w:type="dxa"/>
          </w:tcPr>
          <w:p w14:paraId="0215E546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151" w:type="dxa"/>
          </w:tcPr>
          <w:p w14:paraId="5156E3B0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268" w:type="dxa"/>
          </w:tcPr>
          <w:p w14:paraId="3C40DF48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091" w:type="dxa"/>
          </w:tcPr>
          <w:p w14:paraId="5F1A8A97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✔</w:t>
            </w:r>
          </w:p>
        </w:tc>
      </w:tr>
      <w:tr w14:paraId="54578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3" w:type="dxa"/>
          </w:tcPr>
          <w:p w14:paraId="7521BA5A">
            <w:pPr>
              <w:widowControl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Мед. сестри</w:t>
            </w:r>
          </w:p>
        </w:tc>
        <w:tc>
          <w:tcPr>
            <w:tcW w:w="927" w:type="dxa"/>
          </w:tcPr>
          <w:p w14:paraId="2F4DC35B">
            <w:pPr>
              <w:widowControl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46" w:type="dxa"/>
          </w:tcPr>
          <w:p w14:paraId="48BFCE92">
            <w:pPr>
              <w:widowControl w:val="0"/>
              <w:spacing w:line="360" w:lineRule="auto"/>
              <w:jc w:val="both"/>
              <w:rPr>
                <w:rFonts w:hint="default"/>
                <w:sz w:val="24"/>
                <w:szCs w:val="24"/>
                <w:lang w:val="bg-BG"/>
              </w:rPr>
            </w:pPr>
            <w:r>
              <w:rPr>
                <w:rFonts w:hint="default"/>
                <w:sz w:val="24"/>
                <w:szCs w:val="24"/>
                <w:lang w:val="bg-BG"/>
              </w:rPr>
              <w:t>Бакалавър</w:t>
            </w:r>
          </w:p>
        </w:tc>
        <w:tc>
          <w:tcPr>
            <w:tcW w:w="949" w:type="dxa"/>
          </w:tcPr>
          <w:p w14:paraId="69B74175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151" w:type="dxa"/>
          </w:tcPr>
          <w:p w14:paraId="1BAF13E5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268" w:type="dxa"/>
          </w:tcPr>
          <w:p w14:paraId="7328EBF6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✔</w:t>
            </w:r>
          </w:p>
        </w:tc>
        <w:tc>
          <w:tcPr>
            <w:tcW w:w="1091" w:type="dxa"/>
          </w:tcPr>
          <w:p w14:paraId="3153068E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14:paraId="421CA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3" w:type="dxa"/>
          </w:tcPr>
          <w:p w14:paraId="6A6B6069">
            <w:pPr>
              <w:widowControl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Мед. сестри</w:t>
            </w:r>
          </w:p>
        </w:tc>
        <w:tc>
          <w:tcPr>
            <w:tcW w:w="927" w:type="dxa"/>
          </w:tcPr>
          <w:p w14:paraId="24E1A3FD">
            <w:pPr>
              <w:widowControl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46" w:type="dxa"/>
          </w:tcPr>
          <w:p w14:paraId="03181CC2">
            <w:pPr>
              <w:widowControl w:val="0"/>
              <w:spacing w:line="360" w:lineRule="auto"/>
              <w:jc w:val="both"/>
              <w:rPr>
                <w:rFonts w:hint="default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Бакалавър</w:t>
            </w:r>
          </w:p>
        </w:tc>
        <w:tc>
          <w:tcPr>
            <w:tcW w:w="949" w:type="dxa"/>
          </w:tcPr>
          <w:p w14:paraId="663523E3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151" w:type="dxa"/>
          </w:tcPr>
          <w:p w14:paraId="041D1023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268" w:type="dxa"/>
          </w:tcPr>
          <w:p w14:paraId="42DF9C92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091" w:type="dxa"/>
            <w:shd w:val="clear" w:color="auto" w:fill="auto"/>
          </w:tcPr>
          <w:p w14:paraId="2140A5A5">
            <w:pPr>
              <w:widowControl w:val="0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✔</w:t>
            </w:r>
          </w:p>
        </w:tc>
      </w:tr>
    </w:tbl>
    <w:tbl>
      <w:tblPr>
        <w:tblStyle w:val="3"/>
        <w:tblpPr w:leftFromText="180" w:rightFromText="180" w:vertAnchor="text" w:horzAnchor="page" w:tblpX="1535" w:tblpY="408"/>
        <w:tblOverlap w:val="never"/>
        <w:tblW w:w="8931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6"/>
        <w:gridCol w:w="4395"/>
      </w:tblGrid>
      <w:tr w14:paraId="19D29C0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shd w:val="clear" w:color="auto" w:fill="EEECE1"/>
          </w:tcPr>
          <w:p w14:paraId="316E65C1">
            <w:pPr>
              <w:pStyle w:val="4"/>
              <w:spacing w:line="276" w:lineRule="auto"/>
              <w:jc w:val="center"/>
            </w:pPr>
            <w:r>
              <w:t>Силни страни</w:t>
            </w:r>
          </w:p>
        </w:tc>
        <w:tc>
          <w:tcPr>
            <w:tcW w:w="4395" w:type="dxa"/>
            <w:shd w:val="clear" w:color="auto" w:fill="EEECE1"/>
            <w:vAlign w:val="center"/>
          </w:tcPr>
          <w:p w14:paraId="1C73554E">
            <w:pPr>
              <w:pStyle w:val="4"/>
              <w:spacing w:line="276" w:lineRule="auto"/>
              <w:jc w:val="center"/>
            </w:pPr>
            <w:r>
              <w:t>Слаби страни</w:t>
            </w:r>
          </w:p>
        </w:tc>
      </w:tr>
      <w:tr w14:paraId="7B26E9F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shd w:val="clear" w:color="auto" w:fill="auto"/>
          </w:tcPr>
          <w:p w14:paraId="1C07D8C8">
            <w:pPr>
              <w:pStyle w:val="101"/>
              <w:numPr>
                <w:ilvl w:val="0"/>
                <w:numId w:val="5"/>
              </w:numPr>
              <w:suppressAutoHyphens w:val="0"/>
              <w:autoSpaceDE w:val="0"/>
              <w:spacing w:line="360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  <w:lang w:eastAsia="en-US"/>
              </w:rPr>
              <w:t>Наличие на възможности за вътрешно финансиране на текуща педагогическа квалификация.</w:t>
            </w:r>
          </w:p>
          <w:p w14:paraId="0F3C4A84">
            <w:pPr>
              <w:pStyle w:val="101"/>
              <w:numPr>
                <w:ilvl w:val="0"/>
                <w:numId w:val="5"/>
              </w:numPr>
              <w:suppressAutoHyphens w:val="0"/>
              <w:autoSpaceDE w:val="0"/>
              <w:spacing w:line="360" w:lineRule="auto"/>
              <w:jc w:val="both"/>
              <w:textAlignment w:val="auto"/>
              <w:rPr>
                <w:iCs/>
                <w:sz w:val="24"/>
                <w:szCs w:val="24"/>
                <w:lang w:eastAsia="en-US"/>
              </w:rPr>
            </w:pPr>
            <w:r>
              <w:rPr>
                <w:iCs/>
                <w:sz w:val="24"/>
                <w:szCs w:val="24"/>
                <w:lang w:eastAsia="en-US"/>
              </w:rPr>
              <w:t>Наличие на квалифицирана педагогическа колегия</w:t>
            </w:r>
          </w:p>
          <w:p w14:paraId="72181F38">
            <w:pPr>
              <w:numPr>
                <w:ilvl w:val="0"/>
                <w:numId w:val="5"/>
              </w:numPr>
              <w:spacing w:line="360" w:lineRule="auto"/>
              <w:jc w:val="both"/>
              <w:rPr>
                <w:iCs/>
                <w:sz w:val="24"/>
                <w:szCs w:val="24"/>
                <w:lang w:eastAsia="en-US"/>
              </w:rPr>
            </w:pPr>
            <w:r>
              <w:rPr>
                <w:iCs/>
                <w:sz w:val="24"/>
                <w:szCs w:val="24"/>
                <w:lang w:eastAsia="en-US"/>
              </w:rPr>
              <w:t xml:space="preserve"> Мотивация  на учителите  за придобиване и повишавате на ПКС.</w:t>
            </w:r>
          </w:p>
          <w:p w14:paraId="1B521813">
            <w:pPr>
              <w:pStyle w:val="101"/>
              <w:numPr>
                <w:ilvl w:val="0"/>
                <w:numId w:val="5"/>
              </w:numPr>
              <w:suppressAutoHyphens w:val="0"/>
              <w:autoSpaceDE w:val="0"/>
              <w:spacing w:line="360" w:lineRule="auto"/>
              <w:jc w:val="both"/>
              <w:textAlignment w:val="auto"/>
              <w:rPr>
                <w:iCs/>
                <w:sz w:val="24"/>
                <w:szCs w:val="24"/>
                <w:lang w:eastAsia="en-US"/>
              </w:rPr>
            </w:pPr>
            <w:r>
              <w:rPr>
                <w:iCs/>
                <w:sz w:val="24"/>
                <w:szCs w:val="24"/>
                <w:lang w:eastAsia="en-US"/>
              </w:rPr>
              <w:t>Съвместна работа със студенти от БСУ-ДГ е базова детска градина-</w:t>
            </w:r>
          </w:p>
          <w:p w14:paraId="028B91BC">
            <w:pPr>
              <w:pStyle w:val="101"/>
              <w:numPr>
                <w:ilvl w:val="0"/>
                <w:numId w:val="5"/>
              </w:numPr>
              <w:suppressAutoHyphens w:val="0"/>
              <w:autoSpaceDE w:val="0"/>
              <w:spacing w:line="360" w:lineRule="auto"/>
              <w:jc w:val="both"/>
              <w:textAlignment w:val="auto"/>
              <w:rPr>
                <w:iCs/>
                <w:sz w:val="24"/>
                <w:szCs w:val="24"/>
                <w:lang w:eastAsia="en-US"/>
              </w:rPr>
            </w:pPr>
            <w:r>
              <w:rPr>
                <w:iCs/>
                <w:sz w:val="24"/>
                <w:szCs w:val="24"/>
                <w:lang w:eastAsia="en-US"/>
              </w:rPr>
              <w:t>Утвърдена екипност на различни равнища.</w:t>
            </w:r>
          </w:p>
          <w:p w14:paraId="29333F58">
            <w:pPr>
              <w:pStyle w:val="101"/>
              <w:numPr>
                <w:ilvl w:val="0"/>
                <w:numId w:val="5"/>
              </w:numPr>
              <w:suppressAutoHyphens w:val="0"/>
              <w:autoSpaceDE w:val="0"/>
              <w:spacing w:line="360" w:lineRule="auto"/>
              <w:jc w:val="both"/>
              <w:textAlignment w:val="auto"/>
              <w:rPr>
                <w:iCs/>
                <w:sz w:val="24"/>
                <w:szCs w:val="24"/>
                <w:lang w:eastAsia="en-US"/>
              </w:rPr>
            </w:pPr>
            <w:r>
              <w:rPr>
                <w:iCs/>
                <w:sz w:val="24"/>
                <w:szCs w:val="24"/>
                <w:lang w:eastAsia="en-US"/>
              </w:rPr>
              <w:t>Участие на представители на педагогическата колегия в подбора на учители.</w:t>
            </w:r>
          </w:p>
          <w:p w14:paraId="08352687">
            <w:pPr>
              <w:pStyle w:val="101"/>
              <w:numPr>
                <w:ilvl w:val="0"/>
                <w:numId w:val="5"/>
              </w:numPr>
              <w:suppressAutoHyphens w:val="0"/>
              <w:autoSpaceDE w:val="0"/>
              <w:spacing w:line="360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  <w:lang w:eastAsia="en-US"/>
              </w:rPr>
              <w:t>Осигурени здравна профилактика и мониторинг на работното място от лицензирана фирма.</w:t>
            </w:r>
            <w:r>
              <w:rPr>
                <w:sz w:val="24"/>
                <w:szCs w:val="24"/>
              </w:rPr>
              <w:t xml:space="preserve">           </w:t>
            </w:r>
          </w:p>
          <w:p w14:paraId="4A4F9C8C">
            <w:pPr>
              <w:pStyle w:val="101"/>
              <w:numPr>
                <w:ilvl w:val="0"/>
                <w:numId w:val="5"/>
              </w:numPr>
              <w:suppressAutoHyphens w:val="0"/>
              <w:autoSpaceDE w:val="0"/>
              <w:spacing w:line="360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Директорът  има възможност  сам и с комисия да прави подбор при назначаване на персонал.</w:t>
            </w:r>
          </w:p>
          <w:p w14:paraId="520116FF">
            <w:pPr>
              <w:pStyle w:val="101"/>
              <w:numPr>
                <w:ilvl w:val="0"/>
                <w:numId w:val="5"/>
              </w:num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Учителите умеят да работят в екип. </w:t>
            </w:r>
          </w:p>
          <w:p w14:paraId="69D6131F">
            <w:pPr>
              <w:pStyle w:val="101"/>
              <w:numPr>
                <w:ilvl w:val="0"/>
                <w:numId w:val="5"/>
              </w:num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Много добро взаимодействие директор-учител, директор-обслужващ персонал, учител-учител, учител-обслужващ персонал, обслужващ персонал- обслужващ персонал.</w:t>
            </w:r>
          </w:p>
          <w:p w14:paraId="3B6E654B">
            <w:pPr>
              <w:pStyle w:val="4"/>
              <w:ind w:left="360"/>
            </w:pPr>
          </w:p>
        </w:tc>
        <w:tc>
          <w:tcPr>
            <w:tcW w:w="4395" w:type="dxa"/>
            <w:shd w:val="clear" w:color="auto" w:fill="auto"/>
          </w:tcPr>
          <w:p w14:paraId="7A25157D">
            <w:pPr>
              <w:numPr>
                <w:ilvl w:val="0"/>
                <w:numId w:val="5"/>
              </w:num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Прекалена административна натовареност на директора  и учителите.</w:t>
            </w:r>
          </w:p>
          <w:p w14:paraId="6DED73D0">
            <w:pPr>
              <w:numPr>
                <w:ilvl w:val="0"/>
                <w:numId w:val="5"/>
              </w:num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Липса на методист,  психолог.</w:t>
            </w:r>
          </w:p>
          <w:p w14:paraId="1022D840">
            <w:pPr>
              <w:numPr>
                <w:ilvl w:val="0"/>
                <w:numId w:val="5"/>
              </w:num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Недостатъчна специална квалификация на помощник възпитателите.</w:t>
            </w:r>
          </w:p>
          <w:p w14:paraId="732A0DC7">
            <w:pPr>
              <w:numPr>
                <w:ilvl w:val="0"/>
                <w:numId w:val="5"/>
              </w:num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>
              <w:rPr>
                <w:iCs/>
                <w:sz w:val="24"/>
                <w:szCs w:val="24"/>
                <w:lang w:eastAsia="en-US"/>
              </w:rPr>
              <w:t>Недостатъчни    умения за работа по европейски проекти.</w:t>
            </w:r>
          </w:p>
          <w:p w14:paraId="175B7CF4">
            <w:pPr>
              <w:pStyle w:val="4"/>
              <w:spacing w:line="276" w:lineRule="auto"/>
            </w:pPr>
          </w:p>
        </w:tc>
      </w:tr>
    </w:tbl>
    <w:p w14:paraId="334E6D75">
      <w:pPr>
        <w:spacing w:line="360" w:lineRule="auto"/>
        <w:jc w:val="both"/>
        <w:rPr>
          <w:sz w:val="24"/>
          <w:szCs w:val="24"/>
        </w:rPr>
      </w:pPr>
    </w:p>
    <w:p w14:paraId="63806A16">
      <w:pPr>
        <w:spacing w:line="360" w:lineRule="auto"/>
        <w:jc w:val="both"/>
        <w:rPr>
          <w:b/>
          <w:sz w:val="24"/>
          <w:szCs w:val="24"/>
        </w:rPr>
      </w:pPr>
    </w:p>
    <w:p w14:paraId="65AC17EF">
      <w:pPr>
        <w:numPr>
          <w:ilvl w:val="1"/>
          <w:numId w:val="1"/>
        </w:numPr>
        <w:spacing w:line="36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 ВЪЗПИТАТЕЛНО - ОБРАЗОВАТЕЛЕН  ПРОЦЕС</w:t>
      </w:r>
    </w:p>
    <w:p w14:paraId="414FDFDA">
      <w:pPr>
        <w:spacing w:line="360" w:lineRule="auto"/>
        <w:ind w:left="120"/>
        <w:jc w:val="both"/>
        <w:rPr>
          <w:b/>
          <w:sz w:val="24"/>
          <w:szCs w:val="24"/>
          <w:u w:val="single"/>
        </w:rPr>
      </w:pPr>
    </w:p>
    <w:p w14:paraId="28F0754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В ДГ „Златното ключе" възпитателно-образователният процес се осъществява по разработена от педагогическия екип програма. Планирането е гъвкаво и мобилно, съобразено по направления и ядра, съгласно ДОС. В процеса на възпитателно образователната работа се прилагат различни педагогически подходи, които осигуряват</w:t>
      </w:r>
    </w:p>
    <w:p w14:paraId="76A094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емоционален комфорт на децата и стимулират мисловните им процеси. Педагогическите специалисти работят с програмни продукти и дидактични материали,</w:t>
      </w:r>
    </w:p>
    <w:p w14:paraId="665A77B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утвърдени от МОН. В ОВП се прилагат иновативни педагогически подходи, които</w:t>
      </w:r>
    </w:p>
    <w:p w14:paraId="3E88E67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осигуряват емоционален комфорт на децата и стимулират мисловните им процеси. Стратегията за развитие на ДГ „Златното ключе" гр. Бургас е насочена към качествено</w:t>
      </w:r>
    </w:p>
    <w:p w14:paraId="2CD5576B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образование и възпитание, удовлетворяване потребностите на страните, заинтересовани</w:t>
      </w:r>
    </w:p>
    <w:p w14:paraId="43E6054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от образователния процес: деца, родители, общество.</w:t>
      </w:r>
    </w:p>
    <w:p w14:paraId="282F63C7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Интересни и разнообразни дейности, фокус върху развитието на социални умения;</w:t>
      </w:r>
    </w:p>
    <w:p w14:paraId="4E9AD5E3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Наличие на гъвкав дневен режим, осигуряващ равно-стойност на трите</w:t>
      </w:r>
    </w:p>
    <w:p w14:paraId="105CF88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основни дейности - игра, обучение, труд;</w:t>
      </w:r>
    </w:p>
    <w:p w14:paraId="41F94570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Утвърждаване на личностно ориентиран и позитивен подход на възпитание;</w:t>
      </w:r>
    </w:p>
    <w:p w14:paraId="25B68C46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Създаване на оптимална образователна среда и условия за равен старт активно участие на всички деца;</w:t>
      </w:r>
    </w:p>
    <w:p w14:paraId="2DFF90E6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Осигуряване на емоционален комфорт за създаване на позитивна мотивация, креативно мислене и въображение на децата;</w:t>
      </w:r>
    </w:p>
    <w:p w14:paraId="666A28A5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Приобщаване на децата към общочовешките ценности и традиции;</w:t>
      </w:r>
    </w:p>
    <w:p w14:paraId="7AAFF4E7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Наличие на възможности за допълнителни дейности по интереси, по избор на деца и родители</w:t>
      </w:r>
    </w:p>
    <w:p w14:paraId="349BC585">
      <w:pPr>
        <w:spacing w:line="360" w:lineRule="auto"/>
        <w:jc w:val="both"/>
        <w:rPr>
          <w:sz w:val="24"/>
          <w:szCs w:val="24"/>
        </w:rPr>
      </w:pPr>
    </w:p>
    <w:p w14:paraId="2187B41E">
      <w:pPr>
        <w:numPr>
          <w:ilvl w:val="1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b/>
          <w:i/>
          <w:sz w:val="24"/>
          <w:szCs w:val="24"/>
          <w:u w:val="single"/>
        </w:rPr>
        <w:t>УЧЕБНО-ТЕХНИЧЕСКА И МАТЕРИАЛНА БАЗА</w:t>
      </w:r>
    </w:p>
    <w:p w14:paraId="37DE184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</w:p>
    <w:p w14:paraId="698250D7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ДГ „Златното ключе“  се помещава в два павилиона, специално построени през 1984 г. Разполага с голям и озеленен и оборудван двор, спортни площадки. </w:t>
      </w:r>
    </w:p>
    <w:p w14:paraId="0743D878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 двора е изградена нова сцена, предназначена за изяви на децата от всички групи и за провеждане на празници, тържества, концерти, инициативи и други събития.</w:t>
      </w:r>
    </w:p>
    <w:p w14:paraId="2C45D7D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Материалната и учебно-техническата база се поддържа и обновява поетапно. Всяка група разполага със собствени занимални, спални, тоалетни и офиси. Има осигурени лаптопи, интерактивни дъски, телевизори и уредба, които се използват за интерактивно обучение, презентации, музикални и творчески дейности. В детската градина навсякъде има връзка с интернет. Учителите ползват утвърдения електронен дневник.</w:t>
      </w:r>
    </w:p>
    <w:tbl>
      <w:tblPr>
        <w:tblStyle w:val="3"/>
        <w:tblpPr w:leftFromText="180" w:rightFromText="180" w:vertAnchor="text" w:horzAnchor="page" w:tblpX="1494" w:tblpY="813"/>
        <w:tblOverlap w:val="never"/>
        <w:tblW w:w="8931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6"/>
        <w:gridCol w:w="4395"/>
      </w:tblGrid>
      <w:tr w14:paraId="78A01B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shd w:val="clear" w:color="auto" w:fill="EEECE1"/>
          </w:tcPr>
          <w:p w14:paraId="36A1074E">
            <w:pPr>
              <w:pStyle w:val="4"/>
              <w:spacing w:line="276" w:lineRule="auto"/>
              <w:jc w:val="center"/>
            </w:pPr>
            <w:r>
              <w:t>Силни страни</w:t>
            </w:r>
          </w:p>
        </w:tc>
        <w:tc>
          <w:tcPr>
            <w:tcW w:w="4395" w:type="dxa"/>
            <w:shd w:val="clear" w:color="auto" w:fill="EEECE1"/>
            <w:vAlign w:val="center"/>
          </w:tcPr>
          <w:p w14:paraId="273CDDA6">
            <w:pPr>
              <w:pStyle w:val="4"/>
              <w:spacing w:line="276" w:lineRule="auto"/>
              <w:jc w:val="center"/>
            </w:pPr>
            <w:r>
              <w:t>Слаби страни</w:t>
            </w:r>
          </w:p>
        </w:tc>
      </w:tr>
      <w:tr w14:paraId="3E3A247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shd w:val="clear" w:color="auto" w:fill="auto"/>
          </w:tcPr>
          <w:p w14:paraId="3DDBC273">
            <w:pPr>
              <w:numPr>
                <w:ilvl w:val="0"/>
                <w:numId w:val="7"/>
              </w:num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добре обзаведени  занимални ;</w:t>
            </w:r>
          </w:p>
          <w:p w14:paraId="26143B4D">
            <w:pPr>
              <w:numPr>
                <w:ilvl w:val="0"/>
                <w:numId w:val="7"/>
              </w:num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сменени подови настилки</w:t>
            </w:r>
            <w:r>
              <w:rPr>
                <w:sz w:val="24"/>
                <w:szCs w:val="24"/>
                <w:lang w:val="ru-RU"/>
              </w:rPr>
              <w:t xml:space="preserve">, дограма </w:t>
            </w:r>
            <w:r>
              <w:rPr>
                <w:sz w:val="24"/>
                <w:szCs w:val="24"/>
              </w:rPr>
              <w:t xml:space="preserve"> и осветление на всички помещения в детското заведение;</w:t>
            </w:r>
          </w:p>
          <w:p w14:paraId="147ACFE5">
            <w:pPr>
              <w:numPr>
                <w:ilvl w:val="0"/>
                <w:numId w:val="7"/>
              </w:num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Сменена газова инсталация;</w:t>
            </w:r>
          </w:p>
          <w:p w14:paraId="1D2D58C8">
            <w:pPr>
              <w:spacing w:line="360" w:lineRule="auto"/>
              <w:ind w:left="930"/>
              <w:jc w:val="both"/>
              <w:rPr>
                <w:sz w:val="24"/>
                <w:szCs w:val="24"/>
              </w:rPr>
            </w:pPr>
          </w:p>
          <w:p w14:paraId="2BB0EFBD">
            <w:pPr>
              <w:numPr>
                <w:ilvl w:val="0"/>
                <w:numId w:val="7"/>
              </w:num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всяка група си има име и е украсена тематично;</w:t>
            </w:r>
          </w:p>
          <w:p w14:paraId="0AA34B2F">
            <w:pPr>
              <w:numPr>
                <w:ilvl w:val="0"/>
                <w:numId w:val="7"/>
              </w:num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всички</w:t>
            </w:r>
            <w:r>
              <w:rPr>
                <w:sz w:val="24"/>
                <w:szCs w:val="24"/>
              </w:rPr>
              <w:t xml:space="preserve"> групи разполагат с интерактивна дъска, телевизор , уредба , влаго абсорбатор и антибактериална лампа</w:t>
            </w:r>
          </w:p>
          <w:p w14:paraId="2FBB5E0F">
            <w:pPr>
              <w:numPr>
                <w:ilvl w:val="0"/>
                <w:numId w:val="7"/>
              </w:numPr>
              <w:spacing w:line="36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постоянна изложба във фоайето на ДГ;</w:t>
            </w:r>
          </w:p>
          <w:p w14:paraId="0095E0B5">
            <w:pPr>
              <w:numPr>
                <w:ilvl w:val="0"/>
                <w:numId w:val="7"/>
              </w:numPr>
              <w:spacing w:line="36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обособена стая-изолатор, детска тоалетна ,мед. кабинет по  изисквания на РЗИ;</w:t>
            </w:r>
          </w:p>
          <w:p w14:paraId="6752677B">
            <w:pPr>
              <w:numPr>
                <w:ilvl w:val="0"/>
                <w:numId w:val="7"/>
              </w:numPr>
              <w:spacing w:line="36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обособен архив.</w:t>
            </w:r>
          </w:p>
          <w:p w14:paraId="20A4CFBE">
            <w:pPr>
              <w:numPr>
                <w:ilvl w:val="0"/>
                <w:numId w:val="7"/>
              </w:numPr>
              <w:spacing w:line="36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Обновени спортни площадки и изградено  футболно игрище</w:t>
            </w:r>
          </w:p>
          <w:p w14:paraId="56EA6DCF">
            <w:pPr>
              <w:pStyle w:val="4"/>
              <w:ind w:left="360"/>
            </w:pPr>
          </w:p>
        </w:tc>
        <w:tc>
          <w:tcPr>
            <w:tcW w:w="4395" w:type="dxa"/>
            <w:shd w:val="clear" w:color="auto" w:fill="auto"/>
          </w:tcPr>
          <w:p w14:paraId="698B99A9">
            <w:pPr>
              <w:numPr>
                <w:ilvl w:val="0"/>
                <w:numId w:val="8"/>
              </w:numPr>
              <w:overflowPunct w:val="0"/>
              <w:autoSpaceDE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нужда от физкултурен салон</w:t>
            </w:r>
          </w:p>
          <w:p w14:paraId="05AF7C30">
            <w:pPr>
              <w:numPr>
                <w:ilvl w:val="0"/>
                <w:numId w:val="8"/>
              </w:numPr>
              <w:overflowPunct w:val="0"/>
              <w:autoSpaceDE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нужда от обновени спортните съоражения </w:t>
            </w:r>
          </w:p>
          <w:p w14:paraId="0B0D4897">
            <w:pPr>
              <w:pStyle w:val="4"/>
              <w:spacing w:line="276" w:lineRule="auto"/>
            </w:pPr>
          </w:p>
        </w:tc>
      </w:tr>
      <w:tr w14:paraId="53BBF42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31" w:type="dxa"/>
            <w:gridSpan w:val="2"/>
            <w:shd w:val="clear" w:color="auto" w:fill="auto"/>
          </w:tcPr>
          <w:p w14:paraId="0F354521">
            <w:pPr>
              <w:pStyle w:val="4"/>
              <w:spacing w:line="276" w:lineRule="auto"/>
            </w:pPr>
            <w:r>
              <w:t>Затруднения:</w:t>
            </w:r>
          </w:p>
          <w:p w14:paraId="6C5B8F60">
            <w:pPr>
              <w:pStyle w:val="4"/>
              <w:spacing w:line="276" w:lineRule="auto"/>
            </w:pPr>
            <w:r>
              <w:t xml:space="preserve"> Липса на средства за основни ремонти и за реконструкция на двора.</w:t>
            </w:r>
          </w:p>
        </w:tc>
      </w:tr>
      <w:tr w14:paraId="0543F6E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31" w:type="dxa"/>
            <w:gridSpan w:val="2"/>
            <w:shd w:val="clear" w:color="auto" w:fill="auto"/>
          </w:tcPr>
          <w:p w14:paraId="11147820">
            <w:pPr>
              <w:pStyle w:val="4"/>
              <w:spacing w:line="276" w:lineRule="auto"/>
            </w:pPr>
            <w:r>
              <w:t>Възможности и преспективи:</w:t>
            </w:r>
          </w:p>
          <w:p w14:paraId="403234E4">
            <w:pPr>
              <w:pStyle w:val="4"/>
              <w:numPr>
                <w:ilvl w:val="0"/>
                <w:numId w:val="9"/>
              </w:numPr>
              <w:tabs>
                <w:tab w:val="clear" w:pos="420"/>
              </w:tabs>
              <w:spacing w:line="276" w:lineRule="auto"/>
              <w:jc w:val="both"/>
            </w:pPr>
            <w:r>
              <w:t>Търсене на възможносто за включване на спонсори в различни дейности</w:t>
            </w:r>
          </w:p>
          <w:p w14:paraId="746B3404">
            <w:pPr>
              <w:pStyle w:val="4"/>
              <w:numPr>
                <w:ilvl w:val="0"/>
                <w:numId w:val="9"/>
              </w:numPr>
              <w:tabs>
                <w:tab w:val="clear" w:pos="420"/>
              </w:tabs>
              <w:spacing w:line="276" w:lineRule="auto"/>
              <w:jc w:val="both"/>
            </w:pPr>
            <w:r>
              <w:t>Включване в общинскта програма за ремонти и реконструкция</w:t>
            </w:r>
          </w:p>
          <w:p w14:paraId="7F85540C">
            <w:pPr>
              <w:pStyle w:val="4"/>
              <w:numPr>
                <w:ilvl w:val="0"/>
                <w:numId w:val="9"/>
              </w:numPr>
              <w:tabs>
                <w:tab w:val="clear" w:pos="420"/>
              </w:tabs>
              <w:spacing w:line="276" w:lineRule="auto"/>
              <w:jc w:val="both"/>
            </w:pPr>
            <w:r>
              <w:t>Работа по проекти</w:t>
            </w:r>
          </w:p>
          <w:p w14:paraId="56B06411">
            <w:pPr>
              <w:pStyle w:val="4"/>
              <w:numPr>
                <w:ilvl w:val="0"/>
                <w:numId w:val="9"/>
              </w:numPr>
              <w:tabs>
                <w:tab w:val="clear" w:pos="420"/>
              </w:tabs>
              <w:spacing w:line="276" w:lineRule="auto"/>
              <w:jc w:val="both"/>
            </w:pPr>
            <w:r>
              <w:t>Мотивиране родителите за включване в инициативите  на градината и участие със собствен труд за подпомагане и обновяване базата на детското заведение</w:t>
            </w:r>
          </w:p>
        </w:tc>
      </w:tr>
    </w:tbl>
    <w:p w14:paraId="434E7061">
      <w:pPr>
        <w:spacing w:line="360" w:lineRule="auto"/>
        <w:jc w:val="both"/>
        <w:rPr>
          <w:sz w:val="24"/>
          <w:szCs w:val="24"/>
        </w:rPr>
      </w:pPr>
    </w:p>
    <w:p w14:paraId="7EAE1411">
      <w:pPr>
        <w:spacing w:line="360" w:lineRule="auto"/>
        <w:jc w:val="both"/>
        <w:rPr>
          <w:sz w:val="24"/>
          <w:szCs w:val="24"/>
        </w:rPr>
      </w:pPr>
    </w:p>
    <w:p w14:paraId="092073F6">
      <w:pPr>
        <w:numPr>
          <w:ilvl w:val="1"/>
          <w:numId w:val="1"/>
        </w:num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ФИНАНСИРАНЕ</w:t>
      </w:r>
    </w:p>
    <w:p w14:paraId="6044EDB7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Финансирането на детската градина се осъществява от държавата и от общината. Детска градина ,,Златното ключе” е на делигиран бюджет. Държавните дейности включват: заплати на персонала, квалификации на педагогическите специалисти, представително облекло за педагогическите  специалисти, учебни помагала, допълнително хранене по национални програми, СБКО, трудова медицина. Заплатите на учителите са обвързани с национални програми, дефиринцирано заплащане, кариерно развитие, оптимизация на работна заплата. Местни данъци осигуряват: храната на децата, отоплението, ремонтни дейности и др. Съществуват други алтернати ви за финансиране от проекти, дарение и спонсорство.</w:t>
      </w:r>
    </w:p>
    <w:p w14:paraId="1C2F63B8">
      <w:pPr>
        <w:spacing w:line="360" w:lineRule="auto"/>
        <w:ind w:firstLine="708"/>
        <w:jc w:val="both"/>
        <w:rPr>
          <w:sz w:val="24"/>
          <w:szCs w:val="24"/>
        </w:rPr>
      </w:pPr>
    </w:p>
    <w:tbl>
      <w:tblPr>
        <w:tblStyle w:val="3"/>
        <w:tblpPr w:leftFromText="180" w:rightFromText="180" w:vertAnchor="text" w:horzAnchor="page" w:tblpX="1494" w:tblpY="813"/>
        <w:tblOverlap w:val="never"/>
        <w:tblW w:w="8931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6"/>
        <w:gridCol w:w="4395"/>
      </w:tblGrid>
      <w:tr w14:paraId="3091576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shd w:val="clear" w:color="auto" w:fill="EEECE1"/>
          </w:tcPr>
          <w:p w14:paraId="68174DA5">
            <w:pPr>
              <w:pStyle w:val="4"/>
              <w:spacing w:line="276" w:lineRule="auto"/>
              <w:jc w:val="center"/>
            </w:pPr>
            <w:r>
              <w:t>Силни страни</w:t>
            </w:r>
          </w:p>
        </w:tc>
        <w:tc>
          <w:tcPr>
            <w:tcW w:w="4395" w:type="dxa"/>
            <w:shd w:val="clear" w:color="auto" w:fill="EEECE1"/>
            <w:vAlign w:val="center"/>
          </w:tcPr>
          <w:p w14:paraId="2EFF0D10">
            <w:pPr>
              <w:pStyle w:val="4"/>
              <w:spacing w:line="276" w:lineRule="auto"/>
              <w:jc w:val="center"/>
            </w:pPr>
            <w:r>
              <w:t>Слаби страни</w:t>
            </w:r>
          </w:p>
        </w:tc>
      </w:tr>
      <w:tr w14:paraId="145EB22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shd w:val="clear" w:color="auto" w:fill="auto"/>
          </w:tcPr>
          <w:p w14:paraId="5B6E7317">
            <w:pPr>
              <w:pStyle w:val="4"/>
              <w:numPr>
                <w:ilvl w:val="0"/>
                <w:numId w:val="10"/>
              </w:numPr>
            </w:pPr>
            <w:r>
              <w:rPr>
                <w:b w:val="0"/>
                <w:bCs w:val="0"/>
              </w:rPr>
              <w:t>Делегиран бюджет, управляван целесъобразно и прозрачно от директора, съгласувано с обществения съвет по приоритетите на градината;</w:t>
            </w:r>
          </w:p>
          <w:p w14:paraId="68B307E6">
            <w:pPr>
              <w:pStyle w:val="4"/>
              <w:numPr>
                <w:ilvl w:val="0"/>
                <w:numId w:val="10"/>
              </w:num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Дарения от физически лица по определените правила;</w:t>
            </w:r>
          </w:p>
          <w:p w14:paraId="67942851">
            <w:pPr>
              <w:pStyle w:val="4"/>
              <w:numPr>
                <w:ilvl w:val="0"/>
                <w:numId w:val="10"/>
              </w:numPr>
            </w:pPr>
            <w:r>
              <w:rPr>
                <w:b w:val="0"/>
                <w:bCs w:val="0"/>
              </w:rPr>
              <w:t>Наличие на вътрешни правила за труд, работна заплата и др.;</w:t>
            </w:r>
          </w:p>
          <w:p w14:paraId="4A51EC36">
            <w:pPr>
              <w:pStyle w:val="4"/>
              <w:numPr>
                <w:ilvl w:val="0"/>
                <w:numId w:val="10"/>
              </w:numPr>
            </w:pPr>
            <w:r>
              <w:rPr>
                <w:b w:val="0"/>
                <w:bCs w:val="0"/>
              </w:rPr>
              <w:t>Въведена електронна система за финансово управление и контрол;</w:t>
            </w:r>
          </w:p>
          <w:p w14:paraId="28EF658C">
            <w:pPr>
              <w:pStyle w:val="4"/>
              <w:numPr>
                <w:ilvl w:val="0"/>
                <w:numId w:val="10"/>
              </w:numPr>
            </w:pPr>
            <w:r>
              <w:rPr>
                <w:b w:val="0"/>
                <w:bCs w:val="0"/>
              </w:rPr>
              <w:t>Функционираща и действаща комисия по контрол и отчет на даренията;</w:t>
            </w:r>
          </w:p>
        </w:tc>
        <w:tc>
          <w:tcPr>
            <w:tcW w:w="4395" w:type="dxa"/>
            <w:shd w:val="clear" w:color="auto" w:fill="auto"/>
          </w:tcPr>
          <w:p w14:paraId="3599D04A">
            <w:pPr>
              <w:pStyle w:val="4"/>
              <w:numPr>
                <w:ilvl w:val="0"/>
                <w:numId w:val="10"/>
              </w:numPr>
              <w:spacing w:line="276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ограничени средства за ремонти и обновяване на базата;</w:t>
            </w:r>
          </w:p>
          <w:p w14:paraId="3E545814">
            <w:pPr>
              <w:numPr>
                <w:ilvl w:val="0"/>
                <w:numId w:val="10"/>
              </w:num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липса на средства за командировки на служителите за обмяна на опит;</w:t>
            </w:r>
          </w:p>
          <w:p w14:paraId="770F87F9">
            <w:pPr>
              <w:numPr>
                <w:ilvl w:val="0"/>
                <w:numId w:val="10"/>
              </w:num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липса на   подходящи проекти , по които може да се кандидатства;</w:t>
            </w:r>
          </w:p>
          <w:p w14:paraId="65C4C27A">
            <w:pPr>
              <w:numPr>
                <w:ilvl w:val="0"/>
                <w:numId w:val="10"/>
              </w:num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заплащане труда на учителите и обслужващия персонал зависи от броя на децата и това изисква повишаване на броя деца в групите;</w:t>
            </w:r>
          </w:p>
          <w:p w14:paraId="328CCC67">
            <w:pPr>
              <w:pStyle w:val="4"/>
              <w:spacing w:line="276" w:lineRule="auto"/>
            </w:pPr>
          </w:p>
        </w:tc>
      </w:tr>
      <w:tr w14:paraId="1206442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31" w:type="dxa"/>
            <w:gridSpan w:val="2"/>
            <w:shd w:val="clear" w:color="auto" w:fill="auto"/>
          </w:tcPr>
          <w:p w14:paraId="4F2208D5">
            <w:pPr>
              <w:pStyle w:val="4"/>
              <w:spacing w:line="276" w:lineRule="auto"/>
            </w:pPr>
            <w:r>
              <w:t>Затруднения:</w:t>
            </w:r>
          </w:p>
          <w:p w14:paraId="03C78D55">
            <w:pPr>
              <w:pStyle w:val="4"/>
              <w:numPr>
                <w:ilvl w:val="0"/>
                <w:numId w:val="10"/>
              </w:numPr>
              <w:spacing w:line="276" w:lineRule="auto"/>
            </w:pPr>
            <w:r>
              <w:rPr>
                <w:rFonts w:eastAsia="SimSun"/>
                <w:b w:val="0"/>
                <w:bCs w:val="0"/>
              </w:rPr>
              <w:t>Недостатъчни средства за основни и текущи ремонти. за материали, консумативи, дидактични помагала.</w:t>
            </w:r>
            <w:r>
              <w:rPr>
                <w:b w:val="0"/>
                <w:bCs w:val="0"/>
              </w:rPr>
              <w:t xml:space="preserve"> </w:t>
            </w:r>
          </w:p>
        </w:tc>
      </w:tr>
      <w:tr w14:paraId="0BFE224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31" w:type="dxa"/>
            <w:gridSpan w:val="2"/>
            <w:shd w:val="clear" w:color="auto" w:fill="auto"/>
          </w:tcPr>
          <w:p w14:paraId="328B2717">
            <w:pPr>
              <w:pStyle w:val="4"/>
              <w:spacing w:line="276" w:lineRule="auto"/>
            </w:pPr>
            <w:r>
              <w:t>Възможности и перспективи:</w:t>
            </w:r>
          </w:p>
          <w:p w14:paraId="32D91AD2">
            <w:pPr>
              <w:pStyle w:val="4"/>
              <w:numPr>
                <w:ilvl w:val="0"/>
                <w:numId w:val="9"/>
              </w:numPr>
              <w:tabs>
                <w:tab w:val="clear" w:pos="420"/>
              </w:tabs>
              <w:spacing w:line="276" w:lineRule="auto"/>
              <w:jc w:val="both"/>
              <w:rPr>
                <w:b w:val="0"/>
                <w:bCs w:val="0"/>
              </w:rPr>
            </w:pPr>
            <w:r>
              <w:rPr>
                <w:rFonts w:eastAsia="SimSun"/>
                <w:b w:val="0"/>
                <w:bCs w:val="0"/>
              </w:rPr>
              <w:t>Кандидатстване за включване в различни национални европейски проекти</w:t>
            </w:r>
            <w:r>
              <w:rPr>
                <w:rFonts w:eastAsia="SimSun"/>
                <w:b w:val="0"/>
                <w:bCs w:val="0"/>
                <w:lang w:val="en-US"/>
              </w:rPr>
              <w:t xml:space="preserve"> </w:t>
            </w:r>
            <w:r>
              <w:rPr>
                <w:rFonts w:eastAsia="SimSun"/>
                <w:b w:val="0"/>
                <w:bCs w:val="0"/>
              </w:rPr>
              <w:t>и програми.</w:t>
            </w:r>
          </w:p>
          <w:p w14:paraId="0E8E1DBC">
            <w:pPr>
              <w:pStyle w:val="4"/>
              <w:numPr>
                <w:ilvl w:val="0"/>
                <w:numId w:val="9"/>
              </w:numPr>
              <w:tabs>
                <w:tab w:val="clear" w:pos="420"/>
              </w:tabs>
              <w:spacing w:line="276" w:lineRule="auto"/>
              <w:jc w:val="both"/>
            </w:pPr>
            <w:r>
              <w:rPr>
                <w:rFonts w:eastAsia="SimSun"/>
                <w:b w:val="0"/>
                <w:bCs w:val="0"/>
              </w:rPr>
              <w:t>Мотивиране на родителите към спомоществователство</w:t>
            </w:r>
          </w:p>
        </w:tc>
      </w:tr>
    </w:tbl>
    <w:p w14:paraId="758B7579">
      <w:pPr>
        <w:spacing w:line="360" w:lineRule="auto"/>
        <w:jc w:val="both"/>
        <w:rPr>
          <w:sz w:val="24"/>
          <w:szCs w:val="24"/>
        </w:rPr>
      </w:pPr>
    </w:p>
    <w:p w14:paraId="58F60B9D">
      <w:pPr>
        <w:spacing w:line="360" w:lineRule="auto"/>
        <w:jc w:val="both"/>
        <w:rPr>
          <w:sz w:val="24"/>
          <w:szCs w:val="24"/>
        </w:rPr>
      </w:pPr>
    </w:p>
    <w:p w14:paraId="31A676B6">
      <w:pPr>
        <w:numPr>
          <w:ilvl w:val="1"/>
          <w:numId w:val="1"/>
        </w:numPr>
        <w:spacing w:line="360" w:lineRule="auto"/>
        <w:jc w:val="both"/>
        <w:rPr>
          <w:iCs/>
          <w:sz w:val="24"/>
          <w:szCs w:val="24"/>
        </w:rPr>
      </w:pPr>
      <w:r>
        <w:rPr>
          <w:b/>
          <w:iCs/>
          <w:sz w:val="24"/>
          <w:szCs w:val="24"/>
          <w:u w:val="single"/>
        </w:rPr>
        <w:t>ВЪНШНИ  ФАКТОРИ</w:t>
      </w:r>
    </w:p>
    <w:tbl>
      <w:tblPr>
        <w:tblStyle w:val="3"/>
        <w:tblpPr w:leftFromText="180" w:rightFromText="180" w:vertAnchor="text" w:horzAnchor="page" w:tblpX="1494" w:tblpY="813"/>
        <w:tblOverlap w:val="never"/>
        <w:tblW w:w="8931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6"/>
        <w:gridCol w:w="4395"/>
      </w:tblGrid>
      <w:tr w14:paraId="2426E14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shd w:val="clear" w:color="auto" w:fill="EEECE1"/>
          </w:tcPr>
          <w:p w14:paraId="37EEA623">
            <w:pPr>
              <w:pStyle w:val="4"/>
              <w:spacing w:line="276" w:lineRule="auto"/>
              <w:jc w:val="center"/>
            </w:pPr>
            <w:r>
              <w:t>Силни страни</w:t>
            </w:r>
          </w:p>
        </w:tc>
        <w:tc>
          <w:tcPr>
            <w:tcW w:w="4395" w:type="dxa"/>
            <w:shd w:val="clear" w:color="auto" w:fill="EEECE1"/>
            <w:vAlign w:val="center"/>
          </w:tcPr>
          <w:p w14:paraId="6DBEBAB4">
            <w:pPr>
              <w:pStyle w:val="4"/>
              <w:spacing w:line="276" w:lineRule="auto"/>
              <w:jc w:val="center"/>
            </w:pPr>
            <w:r>
              <w:t>Слаби страни</w:t>
            </w:r>
          </w:p>
        </w:tc>
      </w:tr>
      <w:tr w14:paraId="797E217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shd w:val="clear" w:color="auto" w:fill="auto"/>
          </w:tcPr>
          <w:p w14:paraId="43AB1885">
            <w:pPr>
              <w:numPr>
                <w:ilvl w:val="0"/>
                <w:numId w:val="11"/>
              </w:num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регистрирано  родителско настоятелство;</w:t>
            </w:r>
          </w:p>
          <w:p w14:paraId="2B2E0116">
            <w:pPr>
              <w:numPr>
                <w:ilvl w:val="0"/>
                <w:numId w:val="11"/>
              </w:num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във всяка група има родителски активи, които подпомагат дейността;</w:t>
            </w:r>
          </w:p>
          <w:p w14:paraId="68295365">
            <w:pPr>
              <w:numPr>
                <w:ilvl w:val="0"/>
                <w:numId w:val="11"/>
              </w:num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ДГ е член на ОМЕП,</w:t>
            </w:r>
          </w:p>
          <w:p w14:paraId="1EEA3843">
            <w:pPr>
              <w:numPr>
                <w:ilvl w:val="0"/>
                <w:numId w:val="11"/>
              </w:num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поддържане на добро взаимодействие с музеи, обществени институции, театри и пр.</w:t>
            </w:r>
          </w:p>
          <w:p w14:paraId="23DB7C4D">
            <w:pPr>
              <w:numPr>
                <w:ilvl w:val="0"/>
                <w:numId w:val="11"/>
              </w:num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много добро взаимодействие с началните училища и провеждане на съвместни мероприятия с тях;                                      </w:t>
            </w:r>
          </w:p>
          <w:p w14:paraId="6789E5C9">
            <w:pPr>
              <w:numPr>
                <w:ilvl w:val="0"/>
                <w:numId w:val="11"/>
              </w:num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участия в общински мероприятия и обществения живот на града.</w:t>
            </w:r>
          </w:p>
          <w:p w14:paraId="03B6FA7B">
            <w:pPr>
              <w:pStyle w:val="4"/>
              <w:ind w:left="360"/>
            </w:pPr>
          </w:p>
        </w:tc>
        <w:tc>
          <w:tcPr>
            <w:tcW w:w="4395" w:type="dxa"/>
            <w:shd w:val="clear" w:color="auto" w:fill="auto"/>
          </w:tcPr>
          <w:p w14:paraId="3B5C824E">
            <w:pPr>
              <w:numPr>
                <w:ilvl w:val="0"/>
                <w:numId w:val="12"/>
              </w:num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Ограничена възможност за съвместни инициативи, участия в проекти на неправителствени организации.</w:t>
            </w:r>
          </w:p>
          <w:p w14:paraId="296ED34F">
            <w:pPr>
              <w:pStyle w:val="4"/>
              <w:spacing w:line="276" w:lineRule="auto"/>
            </w:pPr>
          </w:p>
        </w:tc>
      </w:tr>
    </w:tbl>
    <w:p w14:paraId="0285423C">
      <w:pPr>
        <w:spacing w:line="360" w:lineRule="auto"/>
        <w:jc w:val="both"/>
        <w:rPr>
          <w:b/>
          <w:i/>
          <w:sz w:val="24"/>
          <w:szCs w:val="24"/>
          <w:u w:val="single"/>
        </w:rPr>
      </w:pPr>
    </w:p>
    <w:p w14:paraId="2A9A0951">
      <w:pPr>
        <w:spacing w:line="360" w:lineRule="auto"/>
        <w:jc w:val="both"/>
        <w:rPr>
          <w:b/>
          <w:i/>
          <w:sz w:val="24"/>
          <w:szCs w:val="24"/>
          <w:u w:val="single"/>
        </w:rPr>
      </w:pPr>
    </w:p>
    <w:p w14:paraId="123A09E8">
      <w:pPr>
        <w:spacing w:line="360" w:lineRule="auto"/>
        <w:jc w:val="both"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  </w:t>
      </w:r>
      <w:r>
        <w:rPr>
          <w:b/>
          <w:sz w:val="24"/>
          <w:szCs w:val="24"/>
          <w:u w:val="single"/>
        </w:rPr>
        <w:t>I</w:t>
      </w:r>
      <w:r>
        <w:rPr>
          <w:b/>
          <w:sz w:val="24"/>
          <w:szCs w:val="24"/>
          <w:u w:val="single"/>
          <w:lang w:val="en-US"/>
        </w:rPr>
        <w:t>II</w:t>
      </w:r>
      <w:r>
        <w:rPr>
          <w:b/>
          <w:sz w:val="24"/>
          <w:szCs w:val="24"/>
          <w:u w:val="single"/>
        </w:rPr>
        <w:t>. КОНЦЕПЦИЯ ЗА РАЗВИТИЕ НА ДЕТСКАТА ГРАДИНА</w:t>
      </w:r>
    </w:p>
    <w:p w14:paraId="772E20AE">
      <w:pPr>
        <w:spacing w:line="360" w:lineRule="auto"/>
        <w:jc w:val="both"/>
        <w:rPr>
          <w:b/>
          <w:sz w:val="24"/>
          <w:szCs w:val="24"/>
          <w:u w:val="single"/>
        </w:rPr>
      </w:pPr>
    </w:p>
    <w:p w14:paraId="246379A1">
      <w:pPr>
        <w:numPr>
          <w:ilvl w:val="0"/>
          <w:numId w:val="13"/>
        </w:num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>МИСИЯ</w:t>
      </w:r>
      <w:r>
        <w:rPr>
          <w:sz w:val="24"/>
          <w:szCs w:val="24"/>
        </w:rPr>
        <w:t xml:space="preserve"> </w:t>
      </w:r>
    </w:p>
    <w:p w14:paraId="36B6EBC1">
      <w:pPr>
        <w:spacing w:line="360" w:lineRule="auto"/>
        <w:jc w:val="both"/>
        <w:rPr>
          <w:b/>
          <w:sz w:val="24"/>
          <w:szCs w:val="24"/>
          <w:u w:val="single"/>
        </w:rPr>
      </w:pPr>
    </w:p>
    <w:p w14:paraId="7B14C556">
      <w:pPr>
        <w:spacing w:line="360" w:lineRule="auto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Мисията на Детска градина ,,Златното ключе" е да създадем безопасна и стимулираща среда, където всяко дете да развие своя творчески потенциал чрез изкуства, като същевременно осигурим непрекъснато професионално развитие на педагогическите специалисти. Ние вярваме, че чрез изкуствата децата изследват света</w:t>
      </w:r>
    </w:p>
    <w:p w14:paraId="47626A05">
      <w:pPr>
        <w:spacing w:line="36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около себе си, развиват емоционалната си интелигентност, комуникативните си умения</w:t>
      </w:r>
    </w:p>
    <w:p w14:paraId="79E1CBE0">
      <w:pPr>
        <w:spacing w:line="36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и креативното си мислене.</w:t>
      </w:r>
    </w:p>
    <w:p w14:paraId="6265C74C">
      <w:pPr>
        <w:spacing w:line="360" w:lineRule="auto"/>
        <w:jc w:val="both"/>
        <w:rPr>
          <w:b/>
          <w:sz w:val="24"/>
          <w:szCs w:val="24"/>
          <w:u w:val="single"/>
        </w:rPr>
      </w:pPr>
    </w:p>
    <w:p w14:paraId="7E4FECE8">
      <w:pPr>
        <w:numPr>
          <w:ilvl w:val="0"/>
          <w:numId w:val="13"/>
        </w:numPr>
        <w:spacing w:line="36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ВИЗИЯ</w:t>
      </w:r>
    </w:p>
    <w:p w14:paraId="1BA6A636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Със своята дългогодишна история детска градина „Златното ключе" се е утвърдила като любима образователна институция на деца и родители, в която децата получават много внимание и любов и растат обгрижени, любознателни, знаещи и можещи.</w:t>
      </w:r>
    </w:p>
    <w:p w14:paraId="41086D93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Стремим се да бъдем вдъхновяващо място, в което традициите, съвременното образование и екологичното възпитание вървят ръка за ръка.  – модерна, сигурна, приобщаваща и обичана образователна среда, в която всяко дете се чувства значимо, подкрепено и свободно да развива своите способности.</w:t>
      </w:r>
    </w:p>
    <w:p w14:paraId="2D42EBBF">
      <w:pPr>
        <w:autoSpaceDE w:val="0"/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Детската градина съчетава ценностите на детството, българските традиции и културното наследство с иновативни педагогически подходи, дигитални технологии, екологично и здравословно възпитание.</w:t>
      </w:r>
    </w:p>
    <w:p w14:paraId="74264358">
      <w:pPr>
        <w:autoSpaceDE w:val="0"/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Стремим се да изграждаме любопитни, уверени, творчески и отговорни деца, които умеят да общуват, да мислят, да експериментират и да работят в екип. ДГ „Златното ключе“ е пространство за учене, творчество, движение, изява и партньорство с родителите и общността.</w:t>
      </w:r>
    </w:p>
    <w:p w14:paraId="73F49D4D">
      <w:pPr>
        <w:autoSpaceDE w:val="0"/>
        <w:spacing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  <w:lang w:eastAsia="en-US"/>
        </w:rPr>
        <w:t xml:space="preserve">Ценности: </w:t>
      </w:r>
      <w:r>
        <w:rPr>
          <w:sz w:val="24"/>
          <w:szCs w:val="24"/>
          <w:lang w:eastAsia="en-US"/>
        </w:rPr>
        <w:t xml:space="preserve">екипност, отговорност, честност, грижа, постоянство, уважение, национални </w:t>
      </w:r>
      <w:r>
        <w:rPr>
          <w:sz w:val="24"/>
          <w:szCs w:val="24"/>
        </w:rPr>
        <w:t>културни ценности;</w:t>
      </w:r>
    </w:p>
    <w:p w14:paraId="4F16D7BF">
      <w:pPr>
        <w:spacing w:line="360" w:lineRule="auto"/>
        <w:jc w:val="both"/>
        <w:rPr>
          <w:b/>
          <w:sz w:val="24"/>
          <w:szCs w:val="24"/>
        </w:rPr>
      </w:pPr>
    </w:p>
    <w:p w14:paraId="6B123966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ОСНОВНИ ПРИОРИТЕТИ ЗА ПЕРИОДА 2026–2031 Г.</w:t>
      </w:r>
    </w:p>
    <w:p w14:paraId="0FF7C81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• Повишаване качеството на предучилищното образование чрез иновативни и интерактивни педагогически методи;</w:t>
      </w:r>
    </w:p>
    <w:p w14:paraId="128545F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• Изграждане на позитивна, приобщаваща и стимулираща образователна среда, поставяща детето в центъра;</w:t>
      </w:r>
    </w:p>
    <w:p w14:paraId="390B328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• Развитие на физическата активност, здравословния начин на живот и безопасното поведение;</w:t>
      </w:r>
    </w:p>
    <w:p w14:paraId="707B987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• Осъвременяване и обогатяване на материално-техническата база и дигиталната среда.</w:t>
      </w:r>
    </w:p>
    <w:p w14:paraId="08F7849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• Провеждане на празници, концерти и изява на децата на новата сцена в двора на детското заведение;</w:t>
      </w:r>
    </w:p>
    <w:p w14:paraId="17F8588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• Предстои обновяване на две площадки с нови спортни съоръжения с цел повишаване на безопасността и възможностите за двигателна активност.</w:t>
      </w:r>
    </w:p>
    <w:p w14:paraId="2DA33BE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• Обогатяване на дворното пространство с функционални зони за движение, игра, творчество и отдих.</w:t>
      </w:r>
    </w:p>
    <w:p w14:paraId="49D25F5B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• Подкрепа за професионалното развитие и квалификацията на педагогическия, непедагогическия и медицинския персонал.</w:t>
      </w:r>
    </w:p>
    <w:p w14:paraId="3206A25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• Активно партньорство с родителите, културни, образователни, обществени и спортни институции.</w:t>
      </w:r>
    </w:p>
    <w:p w14:paraId="7F7994C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• Развитие на творческите способности и възможностите за публична изява на децата.</w:t>
      </w:r>
    </w:p>
    <w:p w14:paraId="5D753D0B">
      <w:pPr>
        <w:spacing w:line="360" w:lineRule="auto"/>
        <w:jc w:val="both"/>
        <w:rPr>
          <w:sz w:val="24"/>
          <w:szCs w:val="24"/>
        </w:rPr>
      </w:pPr>
    </w:p>
    <w:p w14:paraId="26ABDCAF">
      <w:pPr>
        <w:spacing w:line="360" w:lineRule="auto"/>
        <w:jc w:val="both"/>
        <w:rPr>
          <w:b/>
          <w:iCs/>
          <w:sz w:val="24"/>
          <w:szCs w:val="24"/>
          <w:u w:val="single"/>
        </w:rPr>
      </w:pPr>
      <w:r>
        <w:rPr>
          <w:b/>
          <w:i/>
          <w:sz w:val="24"/>
          <w:szCs w:val="24"/>
          <w:u w:val="single"/>
        </w:rPr>
        <w:t xml:space="preserve"> </w:t>
      </w:r>
      <w:r>
        <w:rPr>
          <w:b/>
          <w:iCs/>
          <w:sz w:val="24"/>
          <w:szCs w:val="24"/>
          <w:u w:val="single"/>
          <w:lang w:val="en-US"/>
        </w:rPr>
        <w:t xml:space="preserve">IV. </w:t>
      </w:r>
      <w:r>
        <w:rPr>
          <w:b/>
          <w:iCs/>
          <w:sz w:val="24"/>
          <w:szCs w:val="24"/>
          <w:u w:val="single"/>
        </w:rPr>
        <w:t>ЦЕЛ НА СТРАТЕГИЯТА</w:t>
      </w:r>
    </w:p>
    <w:p w14:paraId="4EC7033E">
      <w:pPr>
        <w:spacing w:line="360" w:lineRule="auto"/>
        <w:jc w:val="both"/>
        <w:rPr>
          <w:b/>
          <w:i/>
          <w:sz w:val="24"/>
          <w:szCs w:val="24"/>
          <w:u w:val="single"/>
        </w:rPr>
      </w:pPr>
    </w:p>
    <w:p w14:paraId="0B15DA21">
      <w:pPr>
        <w:shd w:val="clear" w:color="auto" w:fill="FFFFFF"/>
        <w:suppressAutoHyphens w:val="0"/>
        <w:spacing w:before="150" w:after="150" w:line="360" w:lineRule="auto"/>
        <w:jc w:val="both"/>
        <w:textAlignment w:val="auto"/>
        <w:rPr>
          <w:sz w:val="24"/>
          <w:szCs w:val="24"/>
        </w:rPr>
      </w:pPr>
      <w:r>
        <w:rPr>
          <w:b/>
          <w:bCs/>
          <w:sz w:val="24"/>
          <w:szCs w:val="24"/>
        </w:rPr>
        <w:t> </w:t>
      </w:r>
      <w:r>
        <w:rPr>
          <w:sz w:val="24"/>
          <w:szCs w:val="24"/>
        </w:rPr>
        <w:t> 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</w:rPr>
        <w:t>Изграждане на иновационна образователна среда за достъп и равен шанс за предучилищно възпитание на всички деца.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Оптимизиране на възможностите на детското заведение да се превърне в център за образователна, културна и социална дейност не само като краен продукт, но като атмосфера, дух и начин на мислене за осъществяване на многостранни инициативи.</w:t>
      </w:r>
    </w:p>
    <w:p w14:paraId="57C67054">
      <w:pPr>
        <w:numPr>
          <w:ilvl w:val="0"/>
          <w:numId w:val="14"/>
        </w:numPr>
        <w:shd w:val="clear" w:color="auto" w:fill="FFFFFF"/>
        <w:suppressAutoHyphens w:val="0"/>
        <w:spacing w:before="150" w:after="150" w:line="360" w:lineRule="auto"/>
        <w:jc w:val="both"/>
        <w:textAlignment w:val="auto"/>
        <w:rPr>
          <w:sz w:val="24"/>
          <w:szCs w:val="24"/>
        </w:rPr>
      </w:pPr>
      <w:r>
        <w:rPr>
          <w:b/>
          <w:bCs/>
          <w:sz w:val="24"/>
          <w:szCs w:val="24"/>
        </w:rPr>
        <w:t>ПОДЦЕЛИ:</w:t>
      </w:r>
    </w:p>
    <w:p w14:paraId="11BDD97D">
      <w:pPr>
        <w:numPr>
          <w:ilvl w:val="0"/>
          <w:numId w:val="15"/>
        </w:numPr>
        <w:shd w:val="clear" w:color="auto" w:fill="FFFFFF"/>
        <w:suppressAutoHyphens w:val="0"/>
        <w:spacing w:before="150" w:after="150" w:line="360" w:lineRule="auto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Създаване на екип за иновационен опит в детската градина (изграждане на гъвкава квалификационна система). Тези екипи да се мултиплицират в различна вариантност и това да е крачка напред за повишаване качеството на работа в цялата градина – ориентация към успех.</w:t>
      </w:r>
    </w:p>
    <w:p w14:paraId="42ACC2D0">
      <w:pPr>
        <w:numPr>
          <w:ilvl w:val="0"/>
          <w:numId w:val="15"/>
        </w:numPr>
        <w:shd w:val="clear" w:color="auto" w:fill="FFFFFF"/>
        <w:suppressAutoHyphens w:val="0"/>
        <w:spacing w:before="100" w:after="100" w:line="360" w:lineRule="auto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      Да се постави на принципно нова основа методическата работа в   детската градина (изграждане на вътрешни методически обединения, екип за иновационни практики, превръщане на детската градина в методически център за иновационни практики – силни страни).</w:t>
      </w:r>
    </w:p>
    <w:p w14:paraId="5C1DBE5B">
      <w:pPr>
        <w:numPr>
          <w:ilvl w:val="0"/>
          <w:numId w:val="15"/>
        </w:numPr>
        <w:shd w:val="clear" w:color="auto" w:fill="FFFFFF"/>
        <w:suppressAutoHyphens w:val="0"/>
        <w:spacing w:before="150" w:after="150" w:line="360" w:lineRule="auto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   Създаване на условия и възможности за избор и включване в значими дейности, адресирани към индивидуалните потребности: на децата (кътове, материална база, дейности на ДОС, ателиета, школи) и на учителите (работна среда, работно поле за изява).</w:t>
      </w:r>
    </w:p>
    <w:p w14:paraId="44DE36EC">
      <w:pPr>
        <w:numPr>
          <w:ilvl w:val="0"/>
          <w:numId w:val="15"/>
        </w:numPr>
        <w:shd w:val="clear" w:color="auto" w:fill="FFFFFF"/>
        <w:suppressAutoHyphens w:val="0"/>
        <w:spacing w:before="100" w:after="100" w:line="360" w:lineRule="auto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       Иницииране на нов стил на управление за търсене и намиране на „образователни ниши“, за приспособяване на детската градина към постоянно изменящата се среда; за стимулиране адекватната реакция на успехите и неуспехите и др.</w:t>
      </w:r>
    </w:p>
    <w:p w14:paraId="0E709CE2">
      <w:pPr>
        <w:numPr>
          <w:ilvl w:val="0"/>
          <w:numId w:val="15"/>
        </w:numPr>
        <w:shd w:val="clear" w:color="auto" w:fill="FFFFFF"/>
        <w:suppressAutoHyphens w:val="0"/>
        <w:spacing w:before="100" w:after="100" w:line="360" w:lineRule="auto"/>
        <w:jc w:val="both"/>
        <w:textAlignment w:val="auto"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             Активизиране работата на родителската общност.</w:t>
      </w:r>
    </w:p>
    <w:p w14:paraId="3FC9C2A6">
      <w:pPr>
        <w:spacing w:line="360" w:lineRule="auto"/>
        <w:jc w:val="both"/>
        <w:rPr>
          <w:b/>
          <w:sz w:val="24"/>
          <w:szCs w:val="24"/>
          <w:u w:val="single"/>
        </w:rPr>
      </w:pPr>
    </w:p>
    <w:p w14:paraId="36EDE6BE">
      <w:pPr>
        <w:spacing w:line="36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  <w:lang w:val="en-US"/>
        </w:rPr>
        <w:t xml:space="preserve">V. </w:t>
      </w:r>
      <w:r>
        <w:rPr>
          <w:b/>
          <w:sz w:val="24"/>
          <w:szCs w:val="24"/>
          <w:u w:val="single"/>
        </w:rPr>
        <w:t>ЦЕННОСТИ И РЪКОВОДНИ ПРИНЦИПИ НА СТРАТЕГИЯТА</w:t>
      </w:r>
    </w:p>
    <w:p w14:paraId="0BC21941">
      <w:pPr>
        <w:spacing w:line="360" w:lineRule="auto"/>
        <w:jc w:val="both"/>
        <w:rPr>
          <w:b/>
          <w:sz w:val="24"/>
          <w:szCs w:val="24"/>
          <w:u w:val="single"/>
        </w:rPr>
      </w:pPr>
    </w:p>
    <w:p w14:paraId="0BD5710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   </w:t>
      </w:r>
    </w:p>
    <w:p w14:paraId="4B946266">
      <w:pPr>
        <w:numPr>
          <w:ilvl w:val="0"/>
          <w:numId w:val="1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Хуманизиране и демократизиране дейността на детската градина и поставяне на детето в центъра на педагогическите взаимодействия.</w:t>
      </w:r>
    </w:p>
    <w:p w14:paraId="3577AF05">
      <w:pPr>
        <w:numPr>
          <w:ilvl w:val="0"/>
          <w:numId w:val="1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Реализиране на ценностите и принципите на педагогиката на толерантността и не насилието.</w:t>
      </w:r>
    </w:p>
    <w:p w14:paraId="1DAD58D8">
      <w:pPr>
        <w:numPr>
          <w:ilvl w:val="0"/>
          <w:numId w:val="1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Позитивното възпитание да бъде в основата на педагогическото взаимодействие.</w:t>
      </w:r>
    </w:p>
    <w:p w14:paraId="68372120">
      <w:pPr>
        <w:numPr>
          <w:ilvl w:val="0"/>
          <w:numId w:val="1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Внедряване на съвременен мениджмънт и маркетинг съобразно новите потребности, изисквания и тенденции в контекста на Европейското образователно пространство.</w:t>
      </w:r>
    </w:p>
    <w:p w14:paraId="2EBBC7B5">
      <w:pPr>
        <w:numPr>
          <w:ilvl w:val="0"/>
          <w:numId w:val="1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Създаване условия за квалификационна дейност на педагогическата колегия, основаваща се на поддържащото образование – образование през целия живот.</w:t>
      </w:r>
    </w:p>
    <w:p w14:paraId="7880CD3F">
      <w:pPr>
        <w:numPr>
          <w:ilvl w:val="0"/>
          <w:numId w:val="1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Подкрепа на децата и техните семейства – педагогика на сътрудничеството.</w:t>
      </w:r>
    </w:p>
    <w:p w14:paraId="1B41A0AA">
      <w:pPr>
        <w:spacing w:line="360" w:lineRule="auto"/>
        <w:jc w:val="both"/>
        <w:rPr>
          <w:b/>
          <w:sz w:val="24"/>
          <w:szCs w:val="24"/>
        </w:rPr>
      </w:pPr>
    </w:p>
    <w:p w14:paraId="3A56FED3">
      <w:pPr>
        <w:pStyle w:val="99"/>
        <w:numPr>
          <w:ilvl w:val="0"/>
          <w:numId w:val="17"/>
        </w:numPr>
        <w:spacing w:line="360" w:lineRule="auto"/>
        <w:rPr>
          <w:b/>
          <w:u w:val="single"/>
        </w:rPr>
      </w:pPr>
      <w:r>
        <w:rPr>
          <w:b/>
          <w:u w:val="single"/>
        </w:rPr>
        <w:t>СТРАТЕГИЧЕСКИ ЦЕЛИ:</w:t>
      </w:r>
    </w:p>
    <w:p w14:paraId="4F97EDEA">
      <w:pPr>
        <w:numPr>
          <w:ilvl w:val="0"/>
          <w:numId w:val="18"/>
        </w:numPr>
        <w:tabs>
          <w:tab w:val="clear" w:pos="420"/>
        </w:tabs>
        <w:autoSpaceDE w:val="0"/>
        <w:spacing w:line="360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>Повишаване качеството на образование в ДГ и постигане максимално високи резултати при възпитанието и обучението на децата в съответствие с ДОС и динамичните промени в развиващото се демократично общество.</w:t>
      </w:r>
    </w:p>
    <w:p w14:paraId="42B66A44">
      <w:pPr>
        <w:numPr>
          <w:ilvl w:val="0"/>
          <w:numId w:val="18"/>
        </w:numPr>
        <w:tabs>
          <w:tab w:val="clear" w:pos="420"/>
        </w:tabs>
        <w:autoSpaceDE w:val="0"/>
        <w:spacing w:line="360" w:lineRule="auto"/>
        <w:ind w:left="0" w:firstLine="0"/>
        <w:jc w:val="both"/>
        <w:rPr>
          <w:sz w:val="24"/>
          <w:szCs w:val="24"/>
        </w:rPr>
      </w:pPr>
      <w:r>
        <w:rPr>
          <w:rFonts w:eastAsia="SimSun"/>
          <w:sz w:val="24"/>
          <w:szCs w:val="24"/>
        </w:rPr>
        <w:t>Изграждане на иновационна образователна среда;</w:t>
      </w:r>
    </w:p>
    <w:p w14:paraId="0E0F22B3">
      <w:pPr>
        <w:numPr>
          <w:ilvl w:val="0"/>
          <w:numId w:val="18"/>
        </w:numPr>
        <w:autoSpaceDE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>Формиране на потребности, интереси и нагласи за обучение и самоусъвършенстване през целия живот както при децата, така и при персонала.</w:t>
      </w:r>
    </w:p>
    <w:p w14:paraId="06F46C56">
      <w:pPr>
        <w:numPr>
          <w:ilvl w:val="0"/>
          <w:numId w:val="18"/>
        </w:numPr>
        <w:autoSpaceDE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>Развиване на физическото, духовното и нравствено здраве на децата, с цел изграждане на физически и морално здрави и дееспособни личности.</w:t>
      </w:r>
    </w:p>
    <w:p w14:paraId="1AD0B2EF">
      <w:pPr>
        <w:numPr>
          <w:ilvl w:val="0"/>
          <w:numId w:val="18"/>
        </w:numPr>
        <w:autoSpaceDE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>Развиване на интелектуалните възможности и комуникативните способности на личността, нейната индивидуалност и самостоятелност.</w:t>
      </w:r>
    </w:p>
    <w:p w14:paraId="0ECDCF74">
      <w:pPr>
        <w:numPr>
          <w:ilvl w:val="0"/>
          <w:numId w:val="18"/>
        </w:numPr>
        <w:autoSpaceDE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>Прилагане на авангардни образователни технологии и европейски компетенции.</w:t>
      </w:r>
    </w:p>
    <w:p w14:paraId="033CF31F">
      <w:pPr>
        <w:numPr>
          <w:ilvl w:val="0"/>
          <w:numId w:val="18"/>
        </w:numPr>
        <w:autoSpaceDE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>Партньорство и сътрудничество с други детски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eastAsia="en-US"/>
        </w:rPr>
        <w:t>градини, културни, обществени и други институции. Създаване на Академия за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eastAsia="en-US"/>
        </w:rPr>
        <w:t>родители и Училище за партньорство.</w:t>
      </w:r>
    </w:p>
    <w:p w14:paraId="228E1961">
      <w:pPr>
        <w:numPr>
          <w:ilvl w:val="0"/>
          <w:numId w:val="18"/>
        </w:numPr>
        <w:autoSpaceDE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>Възпитание в дух на толерантност, уважение към другите и утвърждаване на собствената си идентичност.</w:t>
      </w:r>
    </w:p>
    <w:p w14:paraId="60937E22">
      <w:pPr>
        <w:numPr>
          <w:ilvl w:val="0"/>
          <w:numId w:val="18"/>
        </w:numPr>
        <w:autoSpaceDE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>Формиране на национално самосъзнание, възпитаване в родолюбие, обич и уважение към родния край и съпричастност както към местните, така и към глобалните проблеми на човечеството.</w:t>
      </w:r>
    </w:p>
    <w:p w14:paraId="1838EE8D">
      <w:pPr>
        <w:numPr>
          <w:ilvl w:val="0"/>
          <w:numId w:val="18"/>
        </w:numPr>
        <w:autoSpaceDE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>Повишаване мотивацията и удовлетвореността от работата на</w:t>
      </w:r>
      <w:r>
        <w:rPr>
          <w:sz w:val="24"/>
          <w:szCs w:val="24"/>
          <w:lang w:val="en-US" w:eastAsia="en-US"/>
        </w:rPr>
        <w:t xml:space="preserve"> </w:t>
      </w:r>
      <w:r>
        <w:rPr>
          <w:sz w:val="24"/>
          <w:szCs w:val="24"/>
          <w:lang w:eastAsia="en-US"/>
        </w:rPr>
        <w:t>деца,</w:t>
      </w:r>
      <w:r>
        <w:rPr>
          <w:sz w:val="24"/>
          <w:szCs w:val="24"/>
          <w:lang w:val="en-US" w:eastAsia="en-US"/>
        </w:rPr>
        <w:t xml:space="preserve"> </w:t>
      </w:r>
      <w:r>
        <w:rPr>
          <w:sz w:val="24"/>
          <w:szCs w:val="24"/>
          <w:lang w:eastAsia="en-US"/>
        </w:rPr>
        <w:t>учители,</w:t>
      </w:r>
      <w:r>
        <w:rPr>
          <w:sz w:val="24"/>
          <w:szCs w:val="24"/>
          <w:lang w:val="en-US" w:eastAsia="en-US"/>
        </w:rPr>
        <w:t xml:space="preserve"> </w:t>
      </w:r>
      <w:r>
        <w:rPr>
          <w:sz w:val="24"/>
          <w:szCs w:val="24"/>
          <w:lang w:eastAsia="en-US"/>
        </w:rPr>
        <w:t>родители.</w:t>
      </w:r>
    </w:p>
    <w:p w14:paraId="4DB63247">
      <w:pPr>
        <w:pStyle w:val="101"/>
        <w:shd w:val="clear" w:color="auto" w:fill="FFFFFF"/>
        <w:spacing w:line="360" w:lineRule="auto"/>
        <w:ind w:left="0"/>
        <w:contextualSpacing/>
        <w:jc w:val="both"/>
        <w:textAlignment w:val="auto"/>
        <w:rPr>
          <w:sz w:val="24"/>
          <w:szCs w:val="24"/>
          <w:lang w:eastAsia="en-US"/>
        </w:rPr>
      </w:pPr>
    </w:p>
    <w:p w14:paraId="53533728">
      <w:pPr>
        <w:pStyle w:val="101"/>
        <w:shd w:val="clear" w:color="auto" w:fill="FFFFFF"/>
        <w:spacing w:line="360" w:lineRule="auto"/>
        <w:ind w:left="0"/>
        <w:contextualSpacing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</w:rPr>
        <w:t xml:space="preserve">Това са основните мотиви за работа </w:t>
      </w:r>
      <w:r>
        <w:rPr>
          <w:sz w:val="24"/>
          <w:szCs w:val="24"/>
          <w:lang w:val="ru-RU"/>
        </w:rPr>
        <w:t xml:space="preserve">в </w:t>
      </w:r>
      <w:r>
        <w:rPr>
          <w:sz w:val="24"/>
          <w:szCs w:val="24"/>
        </w:rPr>
        <w:t>ДГ “ ЗЛАТНО</w:t>
      </w:r>
      <w:r>
        <w:rPr>
          <w:sz w:val="24"/>
          <w:szCs w:val="24"/>
          <w:lang w:val="bg-BG"/>
        </w:rPr>
        <w:t>ТО</w:t>
      </w:r>
      <w:r>
        <w:rPr>
          <w:sz w:val="24"/>
          <w:szCs w:val="24"/>
        </w:rPr>
        <w:t xml:space="preserve"> КЛЮЧЕ”-”- гр.Бургас. </w:t>
      </w:r>
      <w:r>
        <w:rPr>
          <w:sz w:val="24"/>
          <w:szCs w:val="24"/>
          <w:lang w:val="ru-RU"/>
        </w:rPr>
        <w:t>Организацията на работа е съсредоточена в</w:t>
      </w:r>
      <w:r>
        <w:rPr>
          <w:sz w:val="24"/>
          <w:szCs w:val="24"/>
        </w:rPr>
        <w:t xml:space="preserve"> 8 групи с деца от 3 до 7 години</w:t>
      </w:r>
      <w:r>
        <w:rPr>
          <w:sz w:val="24"/>
          <w:szCs w:val="24"/>
          <w:lang w:val="ru-RU"/>
        </w:rPr>
        <w:t>, разпределени по възраст</w:t>
      </w:r>
      <w:r>
        <w:rPr>
          <w:sz w:val="24"/>
          <w:szCs w:val="24"/>
        </w:rPr>
        <w:t xml:space="preserve">. Възпитателно-образователния процес се провежда съобразно Програмна система на детското заведение и утвърдените учебни помагала. Образователните направления и ядра са съобразени с </w:t>
      </w:r>
      <w:r>
        <w:rPr>
          <w:color w:val="111111"/>
          <w:sz w:val="24"/>
          <w:szCs w:val="24"/>
        </w:rPr>
        <w:t>Наредба № 5 / 03.06.2016 г. за предучилищното образование.</w:t>
      </w:r>
    </w:p>
    <w:p w14:paraId="33D3C17A">
      <w:pPr>
        <w:pStyle w:val="99"/>
        <w:spacing w:line="360" w:lineRule="auto"/>
      </w:pPr>
      <w:r>
        <w:t xml:space="preserve">     Педагогическата колегия </w:t>
      </w:r>
      <w:r>
        <w:rPr>
          <w:lang w:val="ru-RU"/>
        </w:rPr>
        <w:t xml:space="preserve">е мотивирана за промяна в своята работа и е ориентирана по посока даване право на избор както на децата така и на учителите при самостоятелно </w:t>
      </w:r>
      <w:r>
        <w:t>планира</w:t>
      </w:r>
      <w:r>
        <w:rPr>
          <w:lang w:val="ru-RU"/>
        </w:rPr>
        <w:t>не на</w:t>
      </w:r>
      <w:r>
        <w:t xml:space="preserve">  образователните направления и ядра в съответствие със седмичния хорариум, както и изб</w:t>
      </w:r>
      <w:r>
        <w:rPr>
          <w:lang w:val="ru-RU"/>
        </w:rPr>
        <w:t>о</w:t>
      </w:r>
      <w:r>
        <w:t xml:space="preserve">ра </w:t>
      </w:r>
      <w:r>
        <w:rPr>
          <w:lang w:val="ru-RU"/>
        </w:rPr>
        <w:t xml:space="preserve">на </w:t>
      </w:r>
      <w:r>
        <w:t>учебни помагала и издателства.</w:t>
      </w:r>
    </w:p>
    <w:p w14:paraId="1E5F1CAD">
      <w:pPr>
        <w:pStyle w:val="99"/>
        <w:spacing w:line="360" w:lineRule="auto"/>
      </w:pPr>
      <w:r>
        <w:t xml:space="preserve">     Усилията на екипа на ДГ “ ЗЛАТНО КЛЮЧЕ”-” ще са насочени към</w:t>
      </w:r>
      <w:r>
        <w:rPr>
          <w:lang w:val="ru-RU"/>
        </w:rPr>
        <w:t xml:space="preserve"> </w:t>
      </w:r>
      <w:r>
        <w:t>стимулиране  и управление на нов тип взаимоотношения между детската градина и семейството в интерес и полза на уникалността на всяко дете</w:t>
      </w:r>
      <w:r>
        <w:rPr>
          <w:lang w:val="ru-RU"/>
        </w:rPr>
        <w:t>.</w:t>
      </w:r>
    </w:p>
    <w:p w14:paraId="5E788DA7">
      <w:pPr>
        <w:spacing w:line="360" w:lineRule="auto"/>
        <w:jc w:val="both"/>
        <w:rPr>
          <w:b/>
          <w:i/>
          <w:sz w:val="24"/>
          <w:szCs w:val="24"/>
          <w:u w:val="single"/>
        </w:rPr>
      </w:pPr>
    </w:p>
    <w:p w14:paraId="7DD925B8">
      <w:pPr>
        <w:spacing w:line="360" w:lineRule="auto"/>
        <w:jc w:val="both"/>
        <w:rPr>
          <w:b/>
          <w:iCs/>
          <w:sz w:val="24"/>
          <w:szCs w:val="24"/>
          <w:u w:val="single"/>
        </w:rPr>
      </w:pPr>
      <w:r>
        <w:rPr>
          <w:b/>
          <w:iCs/>
          <w:sz w:val="24"/>
          <w:szCs w:val="24"/>
          <w:u w:val="single"/>
          <w:lang w:val="en-US"/>
        </w:rPr>
        <w:t xml:space="preserve">VI. </w:t>
      </w:r>
      <w:r>
        <w:rPr>
          <w:b/>
          <w:iCs/>
          <w:sz w:val="24"/>
          <w:szCs w:val="24"/>
          <w:u w:val="single"/>
        </w:rPr>
        <w:t>ДЕЙНОСТИ ЗА ПОСТИГАНЕ НА ЦЕЛИТЕ</w:t>
      </w:r>
    </w:p>
    <w:p w14:paraId="09EC05B8">
      <w:pPr>
        <w:spacing w:line="360" w:lineRule="auto"/>
        <w:jc w:val="both"/>
        <w:rPr>
          <w:b/>
          <w:iCs/>
          <w:sz w:val="24"/>
          <w:szCs w:val="24"/>
          <w:u w:val="single"/>
        </w:rPr>
      </w:pPr>
    </w:p>
    <w:p w14:paraId="0B368FFC">
      <w:pPr>
        <w:numPr>
          <w:ilvl w:val="0"/>
          <w:numId w:val="19"/>
        </w:numPr>
        <w:spacing w:line="360" w:lineRule="auto"/>
        <w:jc w:val="both"/>
        <w:rPr>
          <w:iCs/>
          <w:sz w:val="24"/>
          <w:szCs w:val="24"/>
        </w:rPr>
      </w:pPr>
      <w:r>
        <w:rPr>
          <w:b/>
          <w:iCs/>
          <w:sz w:val="24"/>
          <w:szCs w:val="24"/>
          <w:u w:val="single"/>
        </w:rPr>
        <w:t>АДМИНИСТРАТИВНО - УПРАВЛЕНСКА ДЕЙНОСТ</w:t>
      </w:r>
    </w:p>
    <w:p w14:paraId="62B4E04A">
      <w:pPr>
        <w:shd w:val="clear" w:color="auto" w:fill="FFFFFF"/>
        <w:suppressAutoHyphens w:val="0"/>
        <w:spacing w:before="150" w:after="150" w:line="360" w:lineRule="auto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1.1. Търсене на нови контакти с институти, фондации и организации за подпомагане дейността на детската градина.</w:t>
      </w:r>
    </w:p>
    <w:p w14:paraId="3759004B">
      <w:pPr>
        <w:shd w:val="clear" w:color="auto" w:fill="FFFFFF"/>
        <w:suppressAutoHyphens w:val="0"/>
        <w:spacing w:before="150" w:after="150" w:line="360" w:lineRule="auto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1.2.  Активно работеща интернет страница.</w:t>
      </w:r>
    </w:p>
    <w:p w14:paraId="238DCE69">
      <w:pPr>
        <w:shd w:val="clear" w:color="auto" w:fill="FFFFFF"/>
        <w:suppressAutoHyphens w:val="0"/>
        <w:spacing w:before="150" w:after="150" w:line="360" w:lineRule="auto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1.3. Участие в проекти и програми (общински, регионални, национални, международни).</w:t>
      </w:r>
    </w:p>
    <w:p w14:paraId="22978C1C">
      <w:pPr>
        <w:shd w:val="clear" w:color="auto" w:fill="FFFFFF"/>
        <w:suppressAutoHyphens w:val="0"/>
        <w:spacing w:before="150" w:after="150" w:line="360" w:lineRule="auto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1.4. Популяризиране на постижения на деца и учители:</w:t>
      </w:r>
    </w:p>
    <w:p w14:paraId="5BDD926D">
      <w:pPr>
        <w:shd w:val="clear" w:color="auto" w:fill="FFFFFF"/>
        <w:suppressAutoHyphens w:val="0"/>
        <w:spacing w:before="150" w:after="150" w:line="360" w:lineRule="auto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– създаване на информационна банка в детското заведение.</w:t>
      </w:r>
    </w:p>
    <w:p w14:paraId="589C4C67">
      <w:pPr>
        <w:shd w:val="clear" w:color="auto" w:fill="FFFFFF"/>
        <w:suppressAutoHyphens w:val="0"/>
        <w:spacing w:before="150" w:after="150" w:line="360" w:lineRule="auto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1.5. Стимулиране и мотивиране изяви на деца и учители.</w:t>
      </w:r>
    </w:p>
    <w:p w14:paraId="5034333E">
      <w:pPr>
        <w:shd w:val="clear" w:color="auto" w:fill="FFFFFF"/>
        <w:suppressAutoHyphens w:val="0"/>
        <w:spacing w:before="150" w:after="150" w:line="360" w:lineRule="auto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1.6. Търсене на допълнителни средства за финансиране на дейностите.</w:t>
      </w:r>
    </w:p>
    <w:p w14:paraId="07079A91">
      <w:pPr>
        <w:spacing w:line="360" w:lineRule="auto"/>
        <w:jc w:val="both"/>
        <w:rPr>
          <w:sz w:val="24"/>
          <w:szCs w:val="24"/>
        </w:rPr>
      </w:pPr>
    </w:p>
    <w:p w14:paraId="2BBD44F1">
      <w:pPr>
        <w:spacing w:line="360" w:lineRule="auto"/>
        <w:jc w:val="both"/>
        <w:rPr>
          <w:sz w:val="24"/>
          <w:szCs w:val="24"/>
        </w:rPr>
      </w:pPr>
    </w:p>
    <w:p w14:paraId="26CA3CF1">
      <w:pPr>
        <w:spacing w:line="360" w:lineRule="auto"/>
        <w:jc w:val="both"/>
        <w:rPr>
          <w:sz w:val="24"/>
          <w:szCs w:val="24"/>
        </w:rPr>
      </w:pPr>
      <w:r>
        <w:rPr>
          <w:b/>
          <w:i/>
          <w:sz w:val="24"/>
          <w:szCs w:val="24"/>
          <w:u w:val="single"/>
          <w:lang w:val="en-US"/>
        </w:rPr>
        <w:t xml:space="preserve">2. </w:t>
      </w:r>
      <w:r>
        <w:rPr>
          <w:b/>
          <w:i/>
          <w:sz w:val="24"/>
          <w:szCs w:val="24"/>
          <w:u w:val="single"/>
        </w:rPr>
        <w:t>ОБРАЗОВАТЕМНО-ВЪЗПИТАТЕЛНА ДЕЙНОСТ</w:t>
      </w:r>
    </w:p>
    <w:p w14:paraId="0E9D9AB8">
      <w:pPr>
        <w:spacing w:line="360" w:lineRule="auto"/>
        <w:jc w:val="both"/>
        <w:rPr>
          <w:b/>
          <w:i/>
          <w:sz w:val="24"/>
          <w:szCs w:val="24"/>
          <w:u w:val="single"/>
        </w:rPr>
      </w:pPr>
    </w:p>
    <w:p w14:paraId="15BE3F6A">
      <w:pPr>
        <w:shd w:val="clear" w:color="auto" w:fill="FFFFFF"/>
        <w:suppressAutoHyphens w:val="0"/>
        <w:spacing w:before="150" w:after="150" w:line="360" w:lineRule="auto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2.1. Използване на съвременни методи и подходи за развитие – автодидактични игри и материали, интерактивни методи, компютърни програми и др.</w:t>
      </w:r>
    </w:p>
    <w:p w14:paraId="075B9030">
      <w:pPr>
        <w:shd w:val="clear" w:color="auto" w:fill="FFFFFF"/>
        <w:suppressAutoHyphens w:val="0"/>
        <w:spacing w:before="150" w:after="150" w:line="360" w:lineRule="auto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2.2. Използване на индивидуална и групова организация на работа.</w:t>
      </w:r>
    </w:p>
    <w:p w14:paraId="061FCD39">
      <w:pPr>
        <w:shd w:val="clear" w:color="auto" w:fill="FFFFFF"/>
        <w:suppressAutoHyphens w:val="0"/>
        <w:spacing w:before="150" w:after="150" w:line="360" w:lineRule="auto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2.3. Обогатяване системата на диагностика като задължителна практика. Създаване на набор от апробирани тестове за всяка група.</w:t>
      </w:r>
    </w:p>
    <w:p w14:paraId="0FA9FAAC">
      <w:pPr>
        <w:shd w:val="clear" w:color="auto" w:fill="FFFFFF"/>
        <w:suppressAutoHyphens w:val="0"/>
        <w:spacing w:before="150" w:after="150" w:line="360" w:lineRule="auto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2.4. Усъвършенстване процесите на планиране, организиране и провеждане на съдържателен педагогически процес.</w:t>
      </w:r>
    </w:p>
    <w:p w14:paraId="21A80B82">
      <w:pPr>
        <w:shd w:val="clear" w:color="auto" w:fill="FFFFFF"/>
        <w:suppressAutoHyphens w:val="0"/>
        <w:spacing w:before="150" w:after="150" w:line="360" w:lineRule="auto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2.5. Въвеждане на нетрадиционни, интерактивни техники за „нестандартните“ деца.</w:t>
      </w:r>
    </w:p>
    <w:p w14:paraId="7216F4ED">
      <w:pPr>
        <w:shd w:val="clear" w:color="auto" w:fill="FFFFFF"/>
        <w:suppressAutoHyphens w:val="0"/>
        <w:spacing w:before="150" w:after="150" w:line="360" w:lineRule="auto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2.6. Сформиране на дейности по интереси – заплащани от родителите: </w:t>
      </w:r>
    </w:p>
    <w:p w14:paraId="0C5F38F6">
      <w:pPr>
        <w:numPr>
          <w:ilvl w:val="0"/>
          <w:numId w:val="20"/>
        </w:numPr>
        <w:shd w:val="clear" w:color="auto" w:fill="FFFFFF"/>
        <w:suppressAutoHyphens w:val="0"/>
        <w:spacing w:before="150" w:after="150" w:line="360" w:lineRule="auto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,,Сръчни ръчички” - творческа работилничка, модерен балет, мажоретки , футбол , народни танци;</w:t>
      </w:r>
    </w:p>
    <w:p w14:paraId="29A665C4">
      <w:pPr>
        <w:spacing w:line="360" w:lineRule="auto"/>
        <w:jc w:val="both"/>
        <w:rPr>
          <w:sz w:val="24"/>
          <w:szCs w:val="24"/>
        </w:rPr>
      </w:pPr>
      <w:r>
        <w:rPr>
          <w:b/>
          <w:i/>
          <w:sz w:val="24"/>
          <w:szCs w:val="24"/>
          <w:u w:val="single"/>
          <w:lang w:val="en-US"/>
        </w:rPr>
        <w:t xml:space="preserve">3.  </w:t>
      </w:r>
      <w:r>
        <w:rPr>
          <w:b/>
          <w:i/>
          <w:sz w:val="24"/>
          <w:szCs w:val="24"/>
          <w:u w:val="single"/>
        </w:rPr>
        <w:t>КВАЛИФИКАЦИОННА ДЕЙНОСТ</w:t>
      </w:r>
    </w:p>
    <w:p w14:paraId="166EA90A">
      <w:pPr>
        <w:spacing w:line="360" w:lineRule="auto"/>
        <w:jc w:val="both"/>
        <w:rPr>
          <w:sz w:val="24"/>
          <w:szCs w:val="24"/>
        </w:rPr>
      </w:pPr>
    </w:p>
    <w:p w14:paraId="2A49C4FB">
      <w:pPr>
        <w:shd w:val="clear" w:color="auto" w:fill="FFFFFF"/>
        <w:suppressAutoHyphens w:val="0"/>
        <w:spacing w:before="150" w:after="150" w:line="360" w:lineRule="auto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3.1. Създаване на информационна банка – библиотечен, мултимедиен фонд, портфолиа на всеки учител по проблемни области.</w:t>
      </w:r>
    </w:p>
    <w:p w14:paraId="7CBB75CE">
      <w:pPr>
        <w:shd w:val="clear" w:color="auto" w:fill="FFFFFF"/>
        <w:suppressAutoHyphens w:val="0"/>
        <w:spacing w:before="150" w:after="150" w:line="360" w:lineRule="auto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3.2. Осигуряване условия за участие в квалификационни форми на различни равнища.</w:t>
      </w:r>
    </w:p>
    <w:p w14:paraId="45720914">
      <w:pPr>
        <w:shd w:val="clear" w:color="auto" w:fill="FFFFFF"/>
        <w:suppressAutoHyphens w:val="0"/>
        <w:spacing w:before="150" w:after="150" w:line="360" w:lineRule="auto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3.3. Обмяна на опит – паралелно, допълващо, циклично – по проблемни области.</w:t>
      </w:r>
    </w:p>
    <w:p w14:paraId="0291DA00">
      <w:pPr>
        <w:shd w:val="clear" w:color="auto" w:fill="FFFFFF"/>
        <w:suppressAutoHyphens w:val="0"/>
        <w:spacing w:before="150" w:after="150" w:line="360" w:lineRule="auto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3.4. Включване на учителите в курсове за придобиване на по-високи ПКС.</w:t>
      </w:r>
    </w:p>
    <w:p w14:paraId="0DDCC115">
      <w:pPr>
        <w:shd w:val="clear" w:color="auto" w:fill="FFFFFF"/>
        <w:suppressAutoHyphens w:val="0"/>
        <w:spacing w:before="150" w:after="150" w:line="360" w:lineRule="auto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3.5. Включване в обучителни програми за работа с мултимедия, чужд език и педагогически иновации.</w:t>
      </w:r>
    </w:p>
    <w:p w14:paraId="78308352">
      <w:pPr>
        <w:spacing w:line="360" w:lineRule="auto"/>
        <w:jc w:val="both"/>
        <w:rPr>
          <w:sz w:val="24"/>
          <w:szCs w:val="24"/>
        </w:rPr>
      </w:pPr>
    </w:p>
    <w:p w14:paraId="7CBC13CB">
      <w:pPr>
        <w:numPr>
          <w:ilvl w:val="0"/>
          <w:numId w:val="21"/>
        </w:numPr>
        <w:spacing w:line="360" w:lineRule="auto"/>
        <w:jc w:val="both"/>
        <w:rPr>
          <w:sz w:val="24"/>
          <w:szCs w:val="24"/>
        </w:rPr>
      </w:pPr>
      <w:r>
        <w:rPr>
          <w:b/>
          <w:i/>
          <w:sz w:val="24"/>
          <w:szCs w:val="24"/>
          <w:u w:val="single"/>
        </w:rPr>
        <w:t>СОЦИАЛНО - БИТОВА И ФИНАНСОВА ДЕЙНОСТ</w:t>
      </w:r>
    </w:p>
    <w:p w14:paraId="1D46851E">
      <w:pPr>
        <w:spacing w:line="360" w:lineRule="auto"/>
        <w:jc w:val="both"/>
        <w:rPr>
          <w:sz w:val="24"/>
          <w:szCs w:val="24"/>
        </w:rPr>
      </w:pPr>
    </w:p>
    <w:p w14:paraId="78EAD6F7">
      <w:pPr>
        <w:shd w:val="clear" w:color="auto" w:fill="FFFFFF"/>
        <w:suppressAutoHyphens w:val="0"/>
        <w:spacing w:before="150" w:after="150" w:line="360" w:lineRule="auto"/>
        <w:jc w:val="both"/>
        <w:textAlignment w:val="auto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    </w:t>
      </w:r>
      <w:r>
        <w:rPr>
          <w:sz w:val="24"/>
          <w:szCs w:val="24"/>
        </w:rPr>
        <w:t>4.1. Обогатяване и поддържане на материално-техническата база:</w:t>
      </w:r>
    </w:p>
    <w:p w14:paraId="665A9CE1">
      <w:pPr>
        <w:pStyle w:val="101"/>
        <w:numPr>
          <w:ilvl w:val="0"/>
          <w:numId w:val="22"/>
        </w:numPr>
        <w:shd w:val="clear" w:color="auto" w:fill="FFFFFF"/>
        <w:suppressAutoHyphens w:val="0"/>
        <w:spacing w:before="150" w:after="150" w:line="360" w:lineRule="auto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   осигуряване на образователни компютърни програми за децата от всички групи;</w:t>
      </w:r>
    </w:p>
    <w:p w14:paraId="59133410">
      <w:pPr>
        <w:pStyle w:val="101"/>
        <w:numPr>
          <w:ilvl w:val="0"/>
          <w:numId w:val="22"/>
        </w:numPr>
        <w:shd w:val="clear" w:color="auto" w:fill="FFFFFF"/>
        <w:suppressAutoHyphens w:val="0"/>
        <w:spacing w:before="150" w:after="150" w:line="360" w:lineRule="auto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  осъвременяване на интериора на всички занимални;</w:t>
      </w:r>
    </w:p>
    <w:p w14:paraId="54330B46">
      <w:pPr>
        <w:pStyle w:val="101"/>
        <w:numPr>
          <w:ilvl w:val="0"/>
          <w:numId w:val="22"/>
        </w:numPr>
        <w:shd w:val="clear" w:color="auto" w:fill="FFFFFF"/>
        <w:suppressAutoHyphens w:val="0"/>
        <w:spacing w:before="150" w:after="150" w:line="360" w:lineRule="auto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основно преустройство на дворното пространство;</w:t>
      </w:r>
    </w:p>
    <w:p w14:paraId="50253460">
      <w:pPr>
        <w:pStyle w:val="101"/>
        <w:numPr>
          <w:ilvl w:val="0"/>
          <w:numId w:val="22"/>
        </w:numPr>
        <w:shd w:val="clear" w:color="auto" w:fill="FFFFFF"/>
        <w:suppressAutoHyphens w:val="0"/>
        <w:spacing w:before="150" w:after="150" w:line="360" w:lineRule="auto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  обогатяване на игровата и дидактичната база;</w:t>
      </w:r>
    </w:p>
    <w:p w14:paraId="69F9182B">
      <w:pPr>
        <w:pStyle w:val="101"/>
        <w:numPr>
          <w:ilvl w:val="0"/>
          <w:numId w:val="22"/>
        </w:numPr>
        <w:shd w:val="clear" w:color="auto" w:fill="FFFFFF"/>
        <w:suppressAutoHyphens w:val="0"/>
        <w:spacing w:before="150" w:after="150" w:line="360" w:lineRule="auto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 xml:space="preserve">  </w:t>
      </w:r>
      <w:r>
        <w:rPr>
          <w:sz w:val="24"/>
          <w:szCs w:val="24"/>
        </w:rPr>
        <w:t>извършване на необходимите ремонти, текущи и планирани чр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з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средства от дел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гирания бюджет или др.</w:t>
      </w:r>
    </w:p>
    <w:p w14:paraId="5A02E7E0">
      <w:pPr>
        <w:shd w:val="clear" w:color="auto" w:fill="FFFFFF"/>
        <w:suppressAutoHyphens w:val="0"/>
        <w:spacing w:before="150" w:after="150" w:line="360" w:lineRule="auto"/>
        <w:jc w:val="both"/>
        <w:textAlignment w:val="auto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       </w:t>
      </w:r>
      <w:r>
        <w:rPr>
          <w:sz w:val="24"/>
          <w:szCs w:val="24"/>
        </w:rPr>
        <w:t>4.2. Контрол за правилно разпределение на финансовите средства;</w:t>
      </w:r>
    </w:p>
    <w:p w14:paraId="6337E41F">
      <w:pPr>
        <w:pStyle w:val="101"/>
        <w:shd w:val="clear" w:color="auto" w:fill="FFFFFF"/>
        <w:suppressAutoHyphens w:val="0"/>
        <w:spacing w:before="150" w:after="150" w:line="360" w:lineRule="auto"/>
        <w:ind w:left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       </w:t>
      </w:r>
      <w:r>
        <w:rPr>
          <w:sz w:val="24"/>
          <w:szCs w:val="24"/>
        </w:rPr>
        <w:t>4.3. Осигуряване на медицински и здравен мониторинг на персонала;</w:t>
      </w:r>
    </w:p>
    <w:p w14:paraId="26E6C827">
      <w:pPr>
        <w:pStyle w:val="101"/>
        <w:shd w:val="clear" w:color="auto" w:fill="FFFFFF"/>
        <w:suppressAutoHyphens w:val="0"/>
        <w:spacing w:before="150" w:after="150" w:line="360" w:lineRule="auto"/>
        <w:ind w:left="426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4.4. Организиране на различни „антистрес“ дейности – спорт, културни дейности и др.</w:t>
      </w:r>
    </w:p>
    <w:p w14:paraId="5EB2DD98">
      <w:pPr>
        <w:shd w:val="clear" w:color="auto" w:fill="FFFFFF"/>
        <w:spacing w:line="36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 4.5.</w:t>
      </w:r>
      <w:r>
        <w:rPr>
          <w:sz w:val="24"/>
          <w:szCs w:val="24"/>
        </w:rPr>
        <w:t>Създаване на здравословни и безопасни условия на труд и обучение;</w:t>
      </w:r>
    </w:p>
    <w:p w14:paraId="2E36E1BB">
      <w:pPr>
        <w:spacing w:line="360" w:lineRule="auto"/>
        <w:jc w:val="both"/>
        <w:rPr>
          <w:sz w:val="24"/>
          <w:szCs w:val="24"/>
        </w:rPr>
      </w:pPr>
    </w:p>
    <w:p w14:paraId="62AC9E01">
      <w:pPr>
        <w:spacing w:line="360" w:lineRule="auto"/>
        <w:jc w:val="both"/>
        <w:rPr>
          <w:sz w:val="24"/>
          <w:szCs w:val="24"/>
        </w:rPr>
      </w:pPr>
    </w:p>
    <w:p w14:paraId="2DEFE5D5">
      <w:pPr>
        <w:spacing w:line="360" w:lineRule="auto"/>
        <w:jc w:val="both"/>
        <w:rPr>
          <w:sz w:val="24"/>
          <w:szCs w:val="24"/>
        </w:rPr>
      </w:pPr>
      <w:r>
        <w:rPr>
          <w:b/>
          <w:i/>
          <w:sz w:val="24"/>
          <w:szCs w:val="24"/>
          <w:u w:val="single"/>
          <w:lang w:val="en-US"/>
        </w:rPr>
        <w:t>5.</w:t>
      </w:r>
      <w:r>
        <w:rPr>
          <w:b/>
          <w:i/>
          <w:sz w:val="24"/>
          <w:szCs w:val="24"/>
          <w:u w:val="single"/>
        </w:rPr>
        <w:t>ФИНАНСОВО ОСИГУРЯВАНЕ  ИЗПЪЛНЕНИЕТО НА</w:t>
      </w:r>
      <w:r>
        <w:rPr>
          <w:i/>
          <w:sz w:val="24"/>
          <w:szCs w:val="24"/>
          <w:u w:val="single"/>
        </w:rPr>
        <w:t xml:space="preserve"> </w:t>
      </w:r>
      <w:r>
        <w:rPr>
          <w:b/>
          <w:i/>
          <w:sz w:val="24"/>
          <w:szCs w:val="24"/>
          <w:u w:val="single"/>
        </w:rPr>
        <w:t>СТРАТЕГИЯТА</w:t>
      </w:r>
    </w:p>
    <w:p w14:paraId="0B388FB6">
      <w:pPr>
        <w:spacing w:line="360" w:lineRule="auto"/>
        <w:jc w:val="both"/>
        <w:rPr>
          <w:b/>
          <w:i/>
          <w:sz w:val="24"/>
          <w:szCs w:val="24"/>
          <w:u w:val="single"/>
        </w:rPr>
      </w:pPr>
    </w:p>
    <w:p w14:paraId="727A704A">
      <w:pPr>
        <w:shd w:val="clear" w:color="auto" w:fill="FFFFFF"/>
        <w:suppressAutoHyphens w:val="0"/>
        <w:spacing w:before="150" w:after="150" w:line="360" w:lineRule="auto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5.1. Финансиране от държавния и общинския бюджет.</w:t>
      </w:r>
    </w:p>
    <w:p w14:paraId="1B71B765">
      <w:pPr>
        <w:shd w:val="clear" w:color="auto" w:fill="FFFFFF"/>
        <w:suppressAutoHyphens w:val="0"/>
        <w:spacing w:before="150" w:after="150" w:line="360" w:lineRule="auto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5.2. Разработване на проекти с външно финансиране.</w:t>
      </w:r>
    </w:p>
    <w:p w14:paraId="63AE7BEC">
      <w:pPr>
        <w:shd w:val="clear" w:color="auto" w:fill="FFFFFF"/>
        <w:suppressAutoHyphens w:val="0"/>
        <w:spacing w:before="150" w:after="150" w:line="360" w:lineRule="auto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5.3. Привличане на спонсори.</w:t>
      </w:r>
    </w:p>
    <w:p w14:paraId="621AE645">
      <w:pPr>
        <w:shd w:val="clear" w:color="auto" w:fill="FFFFFF"/>
        <w:suppressAutoHyphens w:val="0"/>
        <w:spacing w:before="150" w:after="150" w:line="360" w:lineRule="auto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5.4. Реализиране на благотворителни кампании.</w:t>
      </w:r>
    </w:p>
    <w:p w14:paraId="687E64CB">
      <w:pPr>
        <w:shd w:val="clear" w:color="auto" w:fill="FFFFFF"/>
        <w:suppressAutoHyphens w:val="0"/>
        <w:spacing w:before="150" w:after="150" w:line="360" w:lineRule="auto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5.5. Собствен труд на служители на детската градина.</w:t>
      </w:r>
    </w:p>
    <w:p w14:paraId="7454D333">
      <w:pPr>
        <w:shd w:val="clear" w:color="auto" w:fill="FFFFFF"/>
        <w:suppressAutoHyphens w:val="0"/>
        <w:spacing w:before="150" w:after="150" w:line="360" w:lineRule="auto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5.6. Организиране на трудодни с участието на учителската общност и другите служители на ДГ.</w:t>
      </w:r>
    </w:p>
    <w:p w14:paraId="15544935">
      <w:pPr>
        <w:shd w:val="clear" w:color="auto" w:fill="FFFFFF"/>
        <w:suppressAutoHyphens w:val="0"/>
        <w:spacing w:before="150" w:after="150" w:line="360" w:lineRule="auto"/>
        <w:jc w:val="both"/>
        <w:textAlignment w:val="auto"/>
        <w:rPr>
          <w:sz w:val="24"/>
          <w:szCs w:val="24"/>
        </w:rPr>
      </w:pPr>
      <w:r>
        <w:rPr>
          <w:b/>
          <w:bCs/>
          <w:i/>
          <w:sz w:val="24"/>
          <w:szCs w:val="24"/>
          <w:u w:val="single"/>
        </w:rPr>
        <w:t>V</w:t>
      </w:r>
      <w:r>
        <w:rPr>
          <w:b/>
          <w:bCs/>
          <w:i/>
          <w:sz w:val="24"/>
          <w:szCs w:val="24"/>
          <w:u w:val="single"/>
          <w:lang w:val="en-US"/>
        </w:rPr>
        <w:t>II</w:t>
      </w:r>
      <w:r>
        <w:rPr>
          <w:b/>
          <w:bCs/>
          <w:i/>
          <w:sz w:val="24"/>
          <w:szCs w:val="24"/>
          <w:u w:val="single"/>
        </w:rPr>
        <w:t>. ОЧАКВАНИ РЕЗУЛТАТИ</w:t>
      </w:r>
    </w:p>
    <w:p w14:paraId="255EDBC2">
      <w:pPr>
        <w:shd w:val="clear" w:color="auto" w:fill="FFFFFF"/>
        <w:suppressAutoHyphens w:val="0"/>
        <w:spacing w:before="150" w:after="150" w:line="360" w:lineRule="auto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1. Гъвкавост и вариативност в организацията на материалната среда.</w:t>
      </w:r>
    </w:p>
    <w:p w14:paraId="558BE681">
      <w:pPr>
        <w:shd w:val="clear" w:color="auto" w:fill="FFFFFF"/>
        <w:suppressAutoHyphens w:val="0"/>
        <w:spacing w:before="150" w:after="150" w:line="360" w:lineRule="auto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2. Творческо развитие.</w:t>
      </w:r>
    </w:p>
    <w:p w14:paraId="133C32FF">
      <w:pPr>
        <w:shd w:val="clear" w:color="auto" w:fill="FFFFFF"/>
        <w:suppressAutoHyphens w:val="0"/>
        <w:spacing w:before="150" w:after="150" w:line="360" w:lineRule="auto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3. Решаване на проблемите.</w:t>
      </w:r>
    </w:p>
    <w:p w14:paraId="695E5233">
      <w:pPr>
        <w:shd w:val="clear" w:color="auto" w:fill="FFFFFF"/>
        <w:suppressAutoHyphens w:val="0"/>
        <w:spacing w:before="150" w:after="150" w:line="360" w:lineRule="auto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4. Промяна в мотивите и нагласите на педагогическия екип.</w:t>
      </w:r>
    </w:p>
    <w:p w14:paraId="0630C742">
      <w:pPr>
        <w:shd w:val="clear" w:color="auto" w:fill="FFFFFF"/>
        <w:suppressAutoHyphens w:val="0"/>
        <w:spacing w:before="150" w:after="150" w:line="360" w:lineRule="auto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5. Емоционален комфорт и успешна адаптация на децата. „вграждане“ на детето чрез социализацията му в общността. Формиране на чувство за приобщеност към социалната среда.</w:t>
      </w:r>
    </w:p>
    <w:p w14:paraId="535E9DC8">
      <w:pPr>
        <w:shd w:val="clear" w:color="auto" w:fill="FFFFFF"/>
        <w:suppressAutoHyphens w:val="0"/>
        <w:spacing w:before="150" w:after="150" w:line="360" w:lineRule="auto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6. Използване на нови педагогически технологии.</w:t>
      </w:r>
    </w:p>
    <w:p w14:paraId="4107F3A4">
      <w:pPr>
        <w:shd w:val="clear" w:color="auto" w:fill="FFFFFF"/>
        <w:suppressAutoHyphens w:val="0"/>
        <w:spacing w:before="150" w:after="150" w:line="360" w:lineRule="auto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7. Мобилност на мениджърските и управленските функции на директора.</w:t>
      </w:r>
    </w:p>
    <w:p w14:paraId="310E7255">
      <w:pPr>
        <w:shd w:val="clear" w:color="auto" w:fill="FFFFFF"/>
        <w:suppressAutoHyphens w:val="0"/>
        <w:spacing w:before="150" w:after="150" w:line="360" w:lineRule="auto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8. Разширяване на ползотворните контакти на детската градина с другите социални и обществени фактори.</w:t>
      </w:r>
    </w:p>
    <w:p w14:paraId="1AA1D02A">
      <w:pPr>
        <w:shd w:val="clear" w:color="auto" w:fill="FFFFFF"/>
        <w:suppressAutoHyphens w:val="0"/>
        <w:spacing w:before="150" w:after="150" w:line="360" w:lineRule="auto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9. Включване в образователния процес на родителската общност.</w:t>
      </w:r>
    </w:p>
    <w:p w14:paraId="537A9CD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10. Разширени възможности за детска изява чрез използването на новата сцена в двора.</w:t>
      </w:r>
    </w:p>
    <w:p w14:paraId="4E2BB49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11. Подобрени условия за спорт и двигателна активност чрез обновяването на две площадки с нови спортни съоръжения.</w:t>
      </w:r>
    </w:p>
    <w:p w14:paraId="638B44E8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12. Устойчива дигитална среда във всички групи чрез ефективно използване на наличните лаптопи, интерактивни дъски, телевизори и уредби.</w:t>
      </w:r>
    </w:p>
    <w:p w14:paraId="1ECC4EE9">
      <w:pPr>
        <w:shd w:val="clear" w:color="auto" w:fill="FFFFFF"/>
        <w:suppressAutoHyphens w:val="0"/>
        <w:spacing w:before="100" w:after="100" w:line="360" w:lineRule="auto"/>
        <w:jc w:val="both"/>
        <w:textAlignment w:val="auto"/>
        <w:rPr>
          <w:sz w:val="24"/>
          <w:szCs w:val="24"/>
        </w:rPr>
      </w:pPr>
    </w:p>
    <w:p w14:paraId="49D07C21">
      <w:pPr>
        <w:shd w:val="clear" w:color="auto" w:fill="FFFFFF"/>
        <w:suppressAutoHyphens w:val="0"/>
        <w:spacing w:before="100" w:after="100" w:line="360" w:lineRule="auto"/>
        <w:ind w:left="-360"/>
        <w:jc w:val="both"/>
        <w:textAlignment w:val="auto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VIII. ИНДИКАТОРИ ЗА УСПЕХ</w:t>
      </w:r>
    </w:p>
    <w:p w14:paraId="27A3D37C">
      <w:pPr>
        <w:numPr>
          <w:ilvl w:val="0"/>
          <w:numId w:val="23"/>
        </w:numPr>
        <w:shd w:val="clear" w:color="auto" w:fill="FFFFFF"/>
        <w:suppressAutoHyphens w:val="0"/>
        <w:spacing w:before="100" w:after="100" w:line="360" w:lineRule="auto"/>
        <w:jc w:val="both"/>
        <w:textAlignment w:val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Удовлетвореност на родителите и персонала;</w:t>
      </w:r>
    </w:p>
    <w:p w14:paraId="30552A82">
      <w:pPr>
        <w:numPr>
          <w:ilvl w:val="0"/>
          <w:numId w:val="23"/>
        </w:numPr>
        <w:shd w:val="clear" w:color="auto" w:fill="FFFFFF"/>
        <w:suppressAutoHyphens w:val="0"/>
        <w:spacing w:before="100" w:after="100" w:line="360" w:lineRule="auto"/>
        <w:jc w:val="both"/>
        <w:textAlignment w:val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Повишаване на нивото на знания и умения на децата:</w:t>
      </w:r>
    </w:p>
    <w:p w14:paraId="3BA220C7">
      <w:pPr>
        <w:numPr>
          <w:ilvl w:val="0"/>
          <w:numId w:val="23"/>
        </w:numPr>
        <w:shd w:val="clear" w:color="auto" w:fill="FFFFFF"/>
        <w:suppressAutoHyphens w:val="0"/>
        <w:spacing w:before="100" w:after="100" w:line="360" w:lineRule="auto"/>
        <w:jc w:val="both"/>
        <w:textAlignment w:val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Успешно реализиране на проектите и инициативите;</w:t>
      </w:r>
    </w:p>
    <w:p w14:paraId="7043F5F9">
      <w:pPr>
        <w:numPr>
          <w:ilvl w:val="0"/>
          <w:numId w:val="23"/>
        </w:numPr>
        <w:shd w:val="clear" w:color="auto" w:fill="FFFFFF"/>
        <w:suppressAutoHyphens w:val="0"/>
        <w:spacing w:before="100" w:after="100" w:line="360" w:lineRule="auto"/>
        <w:jc w:val="both"/>
        <w:textAlignment w:val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Положителни отзиви от външни експерти;</w:t>
      </w:r>
    </w:p>
    <w:p w14:paraId="0FE6C9E4">
      <w:pPr>
        <w:numPr>
          <w:ilvl w:val="0"/>
          <w:numId w:val="23"/>
        </w:numPr>
        <w:shd w:val="clear" w:color="auto" w:fill="FFFFFF"/>
        <w:suppressAutoHyphens w:val="0"/>
        <w:spacing w:before="100" w:after="100" w:line="360" w:lineRule="auto"/>
        <w:jc w:val="both"/>
        <w:textAlignment w:val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Финансова устойчивост на детската градина.</w:t>
      </w:r>
    </w:p>
    <w:p w14:paraId="2509D437">
      <w:pPr>
        <w:tabs>
          <w:tab w:val="left" w:pos="7524"/>
        </w:tabs>
        <w:spacing w:line="360" w:lineRule="auto"/>
        <w:jc w:val="both"/>
        <w:rPr>
          <w:b/>
          <w:bCs/>
          <w:sz w:val="24"/>
          <w:szCs w:val="24"/>
          <w:lang w:val="en-US"/>
        </w:rPr>
      </w:pPr>
    </w:p>
    <w:p w14:paraId="3C5A7E68">
      <w:pPr>
        <w:tabs>
          <w:tab w:val="left" w:pos="7524"/>
        </w:tabs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 xml:space="preserve">IX. </w:t>
      </w:r>
      <w:r>
        <w:rPr>
          <w:b/>
          <w:bCs/>
          <w:sz w:val="24"/>
          <w:szCs w:val="24"/>
        </w:rPr>
        <w:t>ЗАКЛЮЧЕНИЕ</w:t>
      </w:r>
    </w:p>
    <w:p w14:paraId="79BC1EE0">
      <w:pPr>
        <w:tabs>
          <w:tab w:val="left" w:pos="7524"/>
        </w:tabs>
        <w:spacing w:line="360" w:lineRule="auto"/>
        <w:ind w:firstLine="360" w:firstLineChars="15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Чрез реализирането на настоящата Стратегия се цели да се утвърди институцията Детска градина „</w:t>
      </w:r>
      <w:r>
        <w:rPr>
          <w:sz w:val="24"/>
          <w:szCs w:val="24"/>
        </w:rPr>
        <w:t>Златното ключе</w:t>
      </w:r>
      <w:r>
        <w:rPr>
          <w:sz w:val="24"/>
          <w:szCs w:val="24"/>
          <w:lang w:val="en-US"/>
        </w:rPr>
        <w:t>" гр. Бургас като уютен, привлекателен и творчески образователно-възпитателен център за развитие на децата и като основа за  добронамерено отговорно сътрудничество между екипа на ДГ, родителите и</w:t>
      </w:r>
    </w:p>
    <w:p w14:paraId="696FEC81">
      <w:pPr>
        <w:tabs>
          <w:tab w:val="left" w:pos="7524"/>
        </w:tabs>
        <w:spacing w:line="36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социокултурната общност.</w:t>
      </w:r>
    </w:p>
    <w:p w14:paraId="3095A787">
      <w:pPr>
        <w:tabs>
          <w:tab w:val="left" w:pos="7524"/>
        </w:tabs>
        <w:spacing w:line="36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</w:r>
    </w:p>
    <w:p w14:paraId="4723390E">
      <w:pPr>
        <w:tabs>
          <w:tab w:val="left" w:pos="7524"/>
        </w:tabs>
        <w:spacing w:line="360" w:lineRule="auto"/>
        <w:ind w:firstLine="480" w:firstLineChars="200"/>
        <w:jc w:val="both"/>
        <w:rPr>
          <w:sz w:val="24"/>
          <w:szCs w:val="24"/>
        </w:rPr>
      </w:pPr>
      <w:r>
        <w:rPr>
          <w:sz w:val="24"/>
          <w:szCs w:val="24"/>
        </w:rPr>
        <w:t>Стратегията за развитието на детската градина се актуализира в следните случаи:</w:t>
      </w:r>
    </w:p>
    <w:p w14:paraId="65F6F8F5">
      <w:pPr>
        <w:tabs>
          <w:tab w:val="left" w:pos="7524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1. В края на двегодишния период от приемането й и след приключване на визирания 5-</w:t>
      </w:r>
    </w:p>
    <w:p w14:paraId="440378B8">
      <w:pPr>
        <w:tabs>
          <w:tab w:val="left" w:pos="7524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годишен период;</w:t>
      </w:r>
    </w:p>
    <w:p w14:paraId="4A4078DA">
      <w:pPr>
        <w:tabs>
          <w:tab w:val="left" w:pos="7524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 Началото на всяка учебна година, след анализ на постигнатото до момента и</w:t>
      </w:r>
    </w:p>
    <w:p w14:paraId="2DFBAD3C">
      <w:pPr>
        <w:tabs>
          <w:tab w:val="left" w:pos="7524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диференциране на възникнали затруднения и нововъведения в образователната система; 3. При настъпили промени в организацията на дейността на детската градина;</w:t>
      </w:r>
    </w:p>
    <w:p w14:paraId="1508B2B4">
      <w:pPr>
        <w:tabs>
          <w:tab w:val="left" w:pos="7524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4. При промяна на нормативната база в образованието, отнасящи се до предучилищното образование.</w:t>
      </w:r>
    </w:p>
    <w:p w14:paraId="25AEC1A5">
      <w:pPr>
        <w:tabs>
          <w:tab w:val="left" w:pos="7524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Въз основа на тази концепция детската градина изготвя ежегодно годишен план за</w:t>
      </w:r>
    </w:p>
    <w:p w14:paraId="04A07FCC">
      <w:pPr>
        <w:tabs>
          <w:tab w:val="left" w:pos="7524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дейностите с конкретните срокове и отговорници.</w:t>
      </w:r>
    </w:p>
    <w:p w14:paraId="727CA498">
      <w:pPr>
        <w:tabs>
          <w:tab w:val="left" w:pos="7524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Концепцията за развитие на детската градина е отворена и периодично ще се</w:t>
      </w:r>
    </w:p>
    <w:p w14:paraId="3FBAB580">
      <w:pPr>
        <w:tabs>
          <w:tab w:val="left" w:pos="7524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актуализира при настъпили промени във външната и вътрешна среда.</w:t>
      </w:r>
    </w:p>
    <w:p w14:paraId="397DD074">
      <w:pPr>
        <w:tabs>
          <w:tab w:val="left" w:pos="7524"/>
        </w:tabs>
        <w:spacing w:line="360" w:lineRule="auto"/>
        <w:jc w:val="both"/>
        <w:rPr>
          <w:sz w:val="24"/>
          <w:szCs w:val="24"/>
        </w:rPr>
      </w:pPr>
    </w:p>
    <w:p w14:paraId="15756381">
      <w:pPr>
        <w:tabs>
          <w:tab w:val="left" w:pos="7524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Настоящата стратегия се обсъжда и приема на заседание на Педагогическия съвет с Протокол № 1/ 17.09</w:t>
      </w:r>
      <w:r>
        <w:rPr>
          <w:sz w:val="24"/>
          <w:szCs w:val="24"/>
          <w:lang w:val="en-US"/>
        </w:rPr>
        <w:t>.</w:t>
      </w:r>
      <w:r>
        <w:rPr>
          <w:sz w:val="24"/>
          <w:szCs w:val="24"/>
        </w:rPr>
        <w:t>2026 г.</w:t>
      </w:r>
    </w:p>
    <w:p w14:paraId="422C06DE">
      <w:pPr>
        <w:tabs>
          <w:tab w:val="left" w:pos="7524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С настоящата стратегия се запознават всички членове на колектива.</w:t>
      </w:r>
    </w:p>
    <w:p w14:paraId="46E3C3A3">
      <w:pPr>
        <w:tabs>
          <w:tab w:val="left" w:pos="7524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14:paraId="732533B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Стратегията се приема за периода 2026-2030 г., но при необходимост може да бъде актуализирана и преди крайния срок.</w:t>
      </w:r>
    </w:p>
    <w:p w14:paraId="7268A9FA">
      <w:pPr>
        <w:spacing w:line="360" w:lineRule="auto"/>
        <w:jc w:val="both"/>
        <w:rPr>
          <w:sz w:val="24"/>
          <w:szCs w:val="24"/>
        </w:rPr>
      </w:pPr>
    </w:p>
    <w:p w14:paraId="6F2C48D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Приложения:</w:t>
      </w:r>
    </w:p>
    <w:p w14:paraId="10552869">
      <w:pPr>
        <w:numPr>
          <w:ilvl w:val="0"/>
          <w:numId w:val="24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Програмна система на детската градина</w:t>
      </w:r>
    </w:p>
    <w:p w14:paraId="6BB14533">
      <w:pPr>
        <w:numPr>
          <w:ilvl w:val="0"/>
          <w:numId w:val="24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План за действие и финансиране</w:t>
      </w:r>
    </w:p>
    <w:p w14:paraId="27915DA1">
      <w:pPr>
        <w:spacing w:line="360" w:lineRule="auto"/>
        <w:jc w:val="both"/>
        <w:rPr>
          <w:sz w:val="24"/>
          <w:szCs w:val="24"/>
        </w:rPr>
      </w:pPr>
    </w:p>
    <w:p w14:paraId="78CA49E9">
      <w:pPr>
        <w:spacing w:line="360" w:lineRule="auto"/>
        <w:jc w:val="both"/>
        <w:rPr>
          <w:sz w:val="24"/>
          <w:szCs w:val="24"/>
        </w:rPr>
      </w:pPr>
    </w:p>
    <w:p w14:paraId="50917E63">
      <w:pPr>
        <w:spacing w:line="36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ДИРЕКТОР:...............................</w:t>
      </w:r>
    </w:p>
    <w:p w14:paraId="3F1A7E39">
      <w:pPr>
        <w:spacing w:line="360" w:lineRule="auto"/>
        <w:jc w:val="right"/>
        <w:rPr>
          <w:sz w:val="24"/>
          <w:szCs w:val="24"/>
        </w:rPr>
      </w:pPr>
      <w:r>
        <w:rPr>
          <w:b/>
          <w:sz w:val="24"/>
          <w:szCs w:val="24"/>
        </w:rPr>
        <w:t>/Ирена Михайлова/</w:t>
      </w:r>
    </w:p>
    <w:p w14:paraId="70B0866C">
      <w:pPr>
        <w:spacing w:line="360" w:lineRule="auto"/>
        <w:jc w:val="both"/>
        <w:rPr>
          <w:b/>
          <w:sz w:val="24"/>
          <w:szCs w:val="24"/>
        </w:rPr>
      </w:pPr>
    </w:p>
    <w:sectPr>
      <w:footerReference r:id="rId3" w:type="default"/>
      <w:pgSz w:w="11906" w:h="16838"/>
      <w:pgMar w:top="851" w:right="1417" w:bottom="1417" w:left="1417" w:header="0" w:footer="0" w:gutter="0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Lohit Devanagar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yriad Pro Light Cond;Aria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Liberation Sans">
    <w:panose1 w:val="020B0604020202020204"/>
    <w:charset w:val="00"/>
    <w:family w:val="swiss"/>
    <w:pitch w:val="default"/>
    <w:sig w:usb0="E0000AFF" w:usb1="500078FF" w:usb2="00000021" w:usb3="00000000" w:csb0="600001BF" w:csb1="DFF70000"/>
  </w:font>
  <w:font w:name="Noto Sans CJK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765BA2">
    <w:pPr>
      <w:pStyle w:val="6"/>
      <w:jc w:val="center"/>
    </w:pPr>
    <w:r>
      <w:rPr>
        <w:rFonts w:ascii="Times New Roman" w:hAnsi="Times New Roman"/>
        <w:sz w:val="16"/>
      </w:rPr>
      <w:t>ДГ „Златното ключе“ – Стратегия за развитие 2026–2031 г.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91F336"/>
    <w:multiLevelType w:val="multilevel"/>
    <w:tmpl w:val="8191F336"/>
    <w:lvl w:ilvl="0" w:tentative="0">
      <w:start w:val="1"/>
      <w:numFmt w:val="decimal"/>
      <w:suff w:val="space"/>
      <w:lvlText w:val="%1."/>
      <w:lvlJc w:val="left"/>
      <w:pPr>
        <w:ind w:left="120" w:firstLine="0"/>
      </w:pPr>
      <w:rPr>
        <w:rFonts w:hint="default"/>
      </w:rPr>
    </w:lvl>
    <w:lvl w:ilvl="1" w:tentative="0">
      <w:start w:val="1"/>
      <w:numFmt w:val="decimal"/>
      <w:suff w:val="space"/>
      <w:lvlText w:val="%1.%2."/>
      <w:lvlJc w:val="left"/>
      <w:pPr>
        <w:ind w:left="120" w:firstLine="0"/>
      </w:pPr>
      <w:rPr>
        <w:rFonts w:hint="default"/>
        <w:b/>
        <w:bCs/>
      </w:rPr>
    </w:lvl>
    <w:lvl w:ilvl="2" w:tentative="0">
      <w:start w:val="1"/>
      <w:numFmt w:val="decimal"/>
      <w:suff w:val="space"/>
      <w:lvlText w:val="%1.%2.%3."/>
      <w:lvlJc w:val="left"/>
      <w:pPr>
        <w:ind w:left="120" w:firstLine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120" w:firstLine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120" w:firstLine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120" w:firstLine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120" w:firstLine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120" w:firstLine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120" w:firstLine="0"/>
      </w:pPr>
      <w:rPr>
        <w:rFonts w:hint="default"/>
      </w:rPr>
    </w:lvl>
  </w:abstractNum>
  <w:abstractNum w:abstractNumId="1">
    <w:nsid w:val="909CF8BB"/>
    <w:multiLevelType w:val="singleLevel"/>
    <w:tmpl w:val="909CF8BB"/>
    <w:lvl w:ilvl="0" w:tentative="0">
      <w:start w:val="4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2">
    <w:nsid w:val="AC0CE689"/>
    <w:multiLevelType w:val="singleLevel"/>
    <w:tmpl w:val="AC0CE689"/>
    <w:lvl w:ilvl="0" w:tentative="0">
      <w:start w:val="1"/>
      <w:numFmt w:val="bullet"/>
      <w:lvlText w:val="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</w:abstractNum>
  <w:abstractNum w:abstractNumId="3">
    <w:nsid w:val="B825A84D"/>
    <w:multiLevelType w:val="singleLevel"/>
    <w:tmpl w:val="B825A84D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CF092B84"/>
    <w:multiLevelType w:val="multilevel"/>
    <w:tmpl w:val="CF092B84"/>
    <w:lvl w:ilvl="0" w:tentative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5">
    <w:nsid w:val="E2121E89"/>
    <w:multiLevelType w:val="singleLevel"/>
    <w:tmpl w:val="E2121E89"/>
    <w:lvl w:ilvl="0" w:tentative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</w:abstractNum>
  <w:abstractNum w:abstractNumId="6">
    <w:nsid w:val="E952F7F2"/>
    <w:multiLevelType w:val="singleLevel"/>
    <w:tmpl w:val="E952F7F2"/>
    <w:lvl w:ilvl="0" w:tentative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</w:abstractNum>
  <w:abstractNum w:abstractNumId="7">
    <w:nsid w:val="ECE20AC3"/>
    <w:multiLevelType w:val="singleLevel"/>
    <w:tmpl w:val="ECE20AC3"/>
    <w:lvl w:ilvl="0" w:tentative="0">
      <w:start w:val="1"/>
      <w:numFmt w:val="bullet"/>
      <w:lvlText w:val="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</w:abstractNum>
  <w:abstractNum w:abstractNumId="8">
    <w:nsid w:val="FAC03B6C"/>
    <w:multiLevelType w:val="singleLevel"/>
    <w:tmpl w:val="FAC03B6C"/>
    <w:lvl w:ilvl="0" w:tentative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</w:abstractNum>
  <w:abstractNum w:abstractNumId="9">
    <w:nsid w:val="0248C179"/>
    <w:multiLevelType w:val="multilevel"/>
    <w:tmpl w:val="0248C179"/>
    <w:lvl w:ilvl="0" w:tentative="0">
      <w:start w:val="0"/>
      <w:numFmt w:val="bullet"/>
      <w:lvlText w:val=""/>
      <w:lvlJc w:val="left"/>
      <w:pPr>
        <w:tabs>
          <w:tab w:val="left" w:pos="0"/>
        </w:tabs>
        <w:ind w:left="720" w:hanging="360"/>
      </w:pPr>
      <w:rPr>
        <w:rFonts w:hint="default" w:ascii="Symbol" w:hAnsi="Symbol" w:cs="Symbol"/>
      </w:rPr>
    </w:lvl>
    <w:lvl w:ilvl="1" w:tentative="0">
      <w:start w:val="0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0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hint="default" w:ascii="Wingdings" w:hAnsi="Wingdings" w:cs="Wingdings"/>
      </w:rPr>
    </w:lvl>
    <w:lvl w:ilvl="3" w:tentative="0">
      <w:start w:val="0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hint="default" w:ascii="Symbol" w:hAnsi="Symbol" w:cs="Symbol"/>
      </w:rPr>
    </w:lvl>
    <w:lvl w:ilvl="4" w:tentative="0">
      <w:start w:val="0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0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hint="default" w:ascii="Wingdings" w:hAnsi="Wingdings" w:cs="Wingdings"/>
      </w:rPr>
    </w:lvl>
    <w:lvl w:ilvl="6" w:tentative="0">
      <w:start w:val="0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hint="default" w:ascii="Symbol" w:hAnsi="Symbol" w:cs="Symbol"/>
      </w:rPr>
    </w:lvl>
    <w:lvl w:ilvl="7" w:tentative="0">
      <w:start w:val="0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0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hint="default" w:ascii="Wingdings" w:hAnsi="Wingdings" w:cs="Wingdings"/>
      </w:rPr>
    </w:lvl>
  </w:abstractNum>
  <w:abstractNum w:abstractNumId="10">
    <w:nsid w:val="04F0712D"/>
    <w:multiLevelType w:val="singleLevel"/>
    <w:tmpl w:val="04F0712D"/>
    <w:lvl w:ilvl="0" w:tentative="0">
      <w:start w:val="1"/>
      <w:numFmt w:val="decimal"/>
      <w:suff w:val="space"/>
      <w:lvlText w:val="%1."/>
      <w:lvlJc w:val="left"/>
      <w:pPr>
        <w:ind w:left="240" w:firstLine="0"/>
      </w:pPr>
    </w:lvl>
  </w:abstractNum>
  <w:abstractNum w:abstractNumId="11">
    <w:nsid w:val="2487968F"/>
    <w:multiLevelType w:val="singleLevel"/>
    <w:tmpl w:val="2487968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2">
    <w:nsid w:val="2AEEA3CA"/>
    <w:multiLevelType w:val="singleLevel"/>
    <w:tmpl w:val="2AEEA3CA"/>
    <w:lvl w:ilvl="0" w:tentative="0">
      <w:start w:val="1"/>
      <w:numFmt w:val="decimal"/>
      <w:suff w:val="space"/>
      <w:lvlText w:val="%1."/>
      <w:lvlJc w:val="left"/>
    </w:lvl>
  </w:abstractNum>
  <w:abstractNum w:abstractNumId="13">
    <w:nsid w:val="4627FC68"/>
    <w:multiLevelType w:val="singleLevel"/>
    <w:tmpl w:val="4627FC68"/>
    <w:lvl w:ilvl="0" w:tentative="0">
      <w:start w:val="1"/>
      <w:numFmt w:val="decimal"/>
      <w:suff w:val="space"/>
      <w:lvlText w:val="%1."/>
      <w:lvlJc w:val="left"/>
      <w:pPr>
        <w:ind w:left="60" w:firstLine="0"/>
      </w:pPr>
    </w:lvl>
  </w:abstractNum>
  <w:abstractNum w:abstractNumId="14">
    <w:nsid w:val="4B048EB9"/>
    <w:multiLevelType w:val="singleLevel"/>
    <w:tmpl w:val="4B048EB9"/>
    <w:lvl w:ilvl="0" w:tentative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</w:abstractNum>
  <w:abstractNum w:abstractNumId="15">
    <w:nsid w:val="4D45CBA9"/>
    <w:multiLevelType w:val="singleLevel"/>
    <w:tmpl w:val="4D45CBA9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  <w:sz w:val="16"/>
        <w:szCs w:val="16"/>
      </w:rPr>
    </w:lvl>
  </w:abstractNum>
  <w:abstractNum w:abstractNumId="16">
    <w:nsid w:val="5316087B"/>
    <w:multiLevelType w:val="singleLevel"/>
    <w:tmpl w:val="5316087B"/>
    <w:lvl w:ilvl="0" w:tentative="0">
      <w:start w:val="1"/>
      <w:numFmt w:val="upperRoman"/>
      <w:suff w:val="nothing"/>
      <w:lvlText w:val="%1-"/>
      <w:lvlJc w:val="left"/>
    </w:lvl>
  </w:abstractNum>
  <w:abstractNum w:abstractNumId="17">
    <w:nsid w:val="54AC980E"/>
    <w:multiLevelType w:val="singleLevel"/>
    <w:tmpl w:val="54AC980E"/>
    <w:lvl w:ilvl="0" w:tentative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</w:abstractNum>
  <w:abstractNum w:abstractNumId="18">
    <w:nsid w:val="5A241D34"/>
    <w:multiLevelType w:val="multilevel"/>
    <w:tmpl w:val="5A241D34"/>
    <w:lvl w:ilvl="0" w:tentative="0">
      <w:start w:val="0"/>
      <w:numFmt w:val="bullet"/>
      <w:lvlText w:val=""/>
      <w:lvlJc w:val="left"/>
      <w:pPr>
        <w:tabs>
          <w:tab w:val="left" w:pos="0"/>
        </w:tabs>
        <w:ind w:left="720" w:hanging="360"/>
      </w:pPr>
      <w:rPr>
        <w:rFonts w:hint="default" w:ascii="Symbol" w:hAnsi="Symbol" w:cs="Symbol"/>
      </w:rPr>
    </w:lvl>
    <w:lvl w:ilvl="1" w:tentative="0">
      <w:start w:val="0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0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hint="default" w:ascii="Wingdings" w:hAnsi="Wingdings" w:cs="Wingdings"/>
      </w:rPr>
    </w:lvl>
    <w:lvl w:ilvl="3" w:tentative="0">
      <w:start w:val="0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hint="default" w:ascii="Symbol" w:hAnsi="Symbol" w:cs="Symbol"/>
      </w:rPr>
    </w:lvl>
    <w:lvl w:ilvl="4" w:tentative="0">
      <w:start w:val="0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0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hint="default" w:ascii="Wingdings" w:hAnsi="Wingdings" w:cs="Wingdings"/>
      </w:rPr>
    </w:lvl>
    <w:lvl w:ilvl="6" w:tentative="0">
      <w:start w:val="0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hint="default" w:ascii="Symbol" w:hAnsi="Symbol" w:cs="Symbol"/>
      </w:rPr>
    </w:lvl>
    <w:lvl w:ilvl="7" w:tentative="0">
      <w:start w:val="0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0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hint="default" w:ascii="Wingdings" w:hAnsi="Wingdings" w:cs="Wingdings"/>
      </w:rPr>
    </w:lvl>
  </w:abstractNum>
  <w:abstractNum w:abstractNumId="19">
    <w:nsid w:val="5C726348"/>
    <w:multiLevelType w:val="singleLevel"/>
    <w:tmpl w:val="5C726348"/>
    <w:lvl w:ilvl="0" w:tentative="0">
      <w:start w:val="1"/>
      <w:numFmt w:val="bullet"/>
      <w:lvlText w:val="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</w:abstractNum>
  <w:abstractNum w:abstractNumId="20">
    <w:nsid w:val="60DC74D8"/>
    <w:multiLevelType w:val="singleLevel"/>
    <w:tmpl w:val="60DC74D8"/>
    <w:lvl w:ilvl="0" w:tentative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</w:abstractNum>
  <w:abstractNum w:abstractNumId="21">
    <w:nsid w:val="690F025C"/>
    <w:multiLevelType w:val="singleLevel"/>
    <w:tmpl w:val="690F025C"/>
    <w:lvl w:ilvl="0" w:tentative="0">
      <w:start w:val="1"/>
      <w:numFmt w:val="decimal"/>
      <w:suff w:val="space"/>
      <w:lvlText w:val="%1."/>
      <w:lvlJc w:val="left"/>
    </w:lvl>
  </w:abstractNum>
  <w:abstractNum w:abstractNumId="22">
    <w:nsid w:val="72183CF9"/>
    <w:multiLevelType w:val="multilevel"/>
    <w:tmpl w:val="72183CF9"/>
    <w:lvl w:ilvl="0" w:tentative="0">
      <w:start w:val="0"/>
      <w:numFmt w:val="bullet"/>
      <w:lvlText w:val=""/>
      <w:lvlJc w:val="left"/>
      <w:pPr>
        <w:tabs>
          <w:tab w:val="left" w:pos="0"/>
        </w:tabs>
        <w:ind w:left="930" w:hanging="360"/>
      </w:pPr>
      <w:rPr>
        <w:rFonts w:hint="default" w:ascii="Symbol" w:hAnsi="Symbol" w:cs="Symbol"/>
      </w:rPr>
    </w:lvl>
    <w:lvl w:ilvl="1" w:tentative="0">
      <w:start w:val="0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0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hint="default" w:ascii="Wingdings" w:hAnsi="Wingdings" w:cs="Wingdings"/>
      </w:rPr>
    </w:lvl>
    <w:lvl w:ilvl="3" w:tentative="0">
      <w:start w:val="0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hint="default" w:ascii="Symbol" w:hAnsi="Symbol" w:cs="Symbol"/>
      </w:rPr>
    </w:lvl>
    <w:lvl w:ilvl="4" w:tentative="0">
      <w:start w:val="0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0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hint="default" w:ascii="Wingdings" w:hAnsi="Wingdings" w:cs="Wingdings"/>
      </w:rPr>
    </w:lvl>
    <w:lvl w:ilvl="6" w:tentative="0">
      <w:start w:val="0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hint="default" w:ascii="Symbol" w:hAnsi="Symbol" w:cs="Symbol"/>
      </w:rPr>
    </w:lvl>
    <w:lvl w:ilvl="7" w:tentative="0">
      <w:start w:val="0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0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hint="default" w:ascii="Wingdings" w:hAnsi="Wingdings" w:cs="Wingdings"/>
      </w:rPr>
    </w:lvl>
  </w:abstractNum>
  <w:abstractNum w:abstractNumId="23">
    <w:nsid w:val="72FF9724"/>
    <w:multiLevelType w:val="singleLevel"/>
    <w:tmpl w:val="72FF9724"/>
    <w:lvl w:ilvl="0" w:tentative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4"/>
  </w:num>
  <w:num w:numId="3">
    <w:abstractNumId w:val="11"/>
  </w:num>
  <w:num w:numId="4">
    <w:abstractNumId w:val="16"/>
  </w:num>
  <w:num w:numId="5">
    <w:abstractNumId w:val="2"/>
  </w:num>
  <w:num w:numId="6">
    <w:abstractNumId w:val="14"/>
  </w:num>
  <w:num w:numId="7">
    <w:abstractNumId w:val="22"/>
  </w:num>
  <w:num w:numId="8">
    <w:abstractNumId w:val="9"/>
  </w:num>
  <w:num w:numId="9">
    <w:abstractNumId w:val="6"/>
  </w:num>
  <w:num w:numId="10">
    <w:abstractNumId w:val="17"/>
  </w:num>
  <w:num w:numId="11">
    <w:abstractNumId w:val="18"/>
  </w:num>
  <w:num w:numId="12">
    <w:abstractNumId w:val="15"/>
  </w:num>
  <w:num w:numId="13">
    <w:abstractNumId w:val="13"/>
  </w:num>
  <w:num w:numId="14">
    <w:abstractNumId w:val="10"/>
  </w:num>
  <w:num w:numId="15">
    <w:abstractNumId w:val="23"/>
  </w:num>
  <w:num w:numId="16">
    <w:abstractNumId w:val="20"/>
  </w:num>
  <w:num w:numId="17">
    <w:abstractNumId w:val="12"/>
  </w:num>
  <w:num w:numId="18">
    <w:abstractNumId w:val="8"/>
  </w:num>
  <w:num w:numId="19">
    <w:abstractNumId w:val="21"/>
  </w:num>
  <w:num w:numId="20">
    <w:abstractNumId w:val="19"/>
  </w:num>
  <w:num w:numId="21">
    <w:abstractNumId w:val="1"/>
  </w:num>
  <w:num w:numId="22">
    <w:abstractNumId w:val="7"/>
  </w:num>
  <w:num w:numId="23">
    <w:abstractNumId w:val="5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autoHyphenation/>
  <w:hyphenationZone w:val="0"/>
  <w:noPunctuationKerning w:val="1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306"/>
    <w:rsid w:val="0004741D"/>
    <w:rsid w:val="000949D4"/>
    <w:rsid w:val="001545D3"/>
    <w:rsid w:val="00164035"/>
    <w:rsid w:val="00276CBE"/>
    <w:rsid w:val="00457E22"/>
    <w:rsid w:val="0055594C"/>
    <w:rsid w:val="00570DE2"/>
    <w:rsid w:val="00625582"/>
    <w:rsid w:val="00853253"/>
    <w:rsid w:val="00941D0D"/>
    <w:rsid w:val="00996306"/>
    <w:rsid w:val="00DA45B5"/>
    <w:rsid w:val="00DE79A6"/>
    <w:rsid w:val="00F04804"/>
    <w:rsid w:val="00F30D6A"/>
    <w:rsid w:val="00FC4690"/>
    <w:rsid w:val="01C866F9"/>
    <w:rsid w:val="02412B40"/>
    <w:rsid w:val="031E4E2A"/>
    <w:rsid w:val="057123DC"/>
    <w:rsid w:val="05AA3CE6"/>
    <w:rsid w:val="0B231954"/>
    <w:rsid w:val="0B3D24FE"/>
    <w:rsid w:val="0C583F4F"/>
    <w:rsid w:val="0E436F73"/>
    <w:rsid w:val="104963C3"/>
    <w:rsid w:val="109C4C27"/>
    <w:rsid w:val="15574892"/>
    <w:rsid w:val="16CE5378"/>
    <w:rsid w:val="1BA1284C"/>
    <w:rsid w:val="1C2E59AA"/>
    <w:rsid w:val="1DB06E2E"/>
    <w:rsid w:val="223D47BB"/>
    <w:rsid w:val="22675AD9"/>
    <w:rsid w:val="26026338"/>
    <w:rsid w:val="264D685D"/>
    <w:rsid w:val="264E5AA3"/>
    <w:rsid w:val="282A31F1"/>
    <w:rsid w:val="2BDE41F1"/>
    <w:rsid w:val="2E5B009E"/>
    <w:rsid w:val="31BF532C"/>
    <w:rsid w:val="34E27380"/>
    <w:rsid w:val="35941175"/>
    <w:rsid w:val="3E99492F"/>
    <w:rsid w:val="405A5A9C"/>
    <w:rsid w:val="428B3B7C"/>
    <w:rsid w:val="477A0AC6"/>
    <w:rsid w:val="4A17023E"/>
    <w:rsid w:val="4B205ACF"/>
    <w:rsid w:val="4BF20765"/>
    <w:rsid w:val="4CF93156"/>
    <w:rsid w:val="4D1D0A7C"/>
    <w:rsid w:val="4D970667"/>
    <w:rsid w:val="50B201A5"/>
    <w:rsid w:val="54257FE3"/>
    <w:rsid w:val="5515460D"/>
    <w:rsid w:val="55C7591B"/>
    <w:rsid w:val="57B71382"/>
    <w:rsid w:val="583944FA"/>
    <w:rsid w:val="5D3F1487"/>
    <w:rsid w:val="5ECC04C2"/>
    <w:rsid w:val="64AF28CC"/>
    <w:rsid w:val="64C03B57"/>
    <w:rsid w:val="650C1A58"/>
    <w:rsid w:val="65D94B84"/>
    <w:rsid w:val="662F6AF7"/>
    <w:rsid w:val="679D5E36"/>
    <w:rsid w:val="70667F45"/>
    <w:rsid w:val="76032355"/>
    <w:rsid w:val="78EC5072"/>
    <w:rsid w:val="7A6E21AB"/>
    <w:rsid w:val="7ECB6D11"/>
    <w:rsid w:val="7F342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  <w:textAlignment w:val="baseline"/>
    </w:pPr>
    <w:rPr>
      <w:rFonts w:ascii="Times New Roman" w:hAnsi="Times New Roman" w:eastAsia="Times New Roman" w:cs="Times New Roman"/>
      <w:sz w:val="22"/>
      <w:szCs w:val="16"/>
      <w:lang w:val="bg-BG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uppressAutoHyphens w:val="0"/>
      <w:textAlignment w:val="auto"/>
    </w:pPr>
    <w:rPr>
      <w:b/>
      <w:bCs/>
      <w:sz w:val="24"/>
      <w:szCs w:val="24"/>
    </w:rPr>
  </w:style>
  <w:style w:type="paragraph" w:styleId="5">
    <w:name w:val="caption"/>
    <w:basedOn w:val="1"/>
    <w:qFormat/>
    <w:uiPriority w:val="0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6">
    <w:name w:val="footer"/>
    <w:basedOn w:val="1"/>
    <w:qFormat/>
    <w:uiPriority w:val="0"/>
    <w:pPr>
      <w:tabs>
        <w:tab w:val="center" w:pos="4536"/>
        <w:tab w:val="right" w:pos="9072"/>
      </w:tabs>
      <w:suppressAutoHyphens w:val="0"/>
      <w:textAlignment w:val="auto"/>
    </w:pPr>
    <w:rPr>
      <w:rFonts w:ascii="Calibri" w:hAnsi="Calibri" w:cs="Calibri"/>
      <w:szCs w:val="22"/>
    </w:rPr>
  </w:style>
  <w:style w:type="paragraph" w:styleId="7">
    <w:name w:val="header"/>
    <w:basedOn w:val="1"/>
    <w:qFormat/>
    <w:uiPriority w:val="0"/>
    <w:pPr>
      <w:tabs>
        <w:tab w:val="center" w:pos="4536"/>
        <w:tab w:val="right" w:pos="9072"/>
      </w:tabs>
      <w:suppressAutoHyphens w:val="0"/>
      <w:textAlignment w:val="auto"/>
    </w:pPr>
    <w:rPr>
      <w:rFonts w:ascii="Calibri" w:hAnsi="Calibri" w:cs="Calibri"/>
      <w:szCs w:val="22"/>
    </w:rPr>
  </w:style>
  <w:style w:type="character" w:styleId="8">
    <w:name w:val="Hyperlink"/>
    <w:qFormat/>
    <w:uiPriority w:val="0"/>
    <w:rPr>
      <w:color w:val="0000FF"/>
      <w:u w:val="single"/>
    </w:rPr>
  </w:style>
  <w:style w:type="paragraph" w:styleId="9">
    <w:name w:val="List"/>
    <w:basedOn w:val="4"/>
    <w:qFormat/>
    <w:uiPriority w:val="0"/>
    <w:rPr>
      <w:rFonts w:cs="Lohit Devanagari"/>
    </w:rPr>
  </w:style>
  <w:style w:type="table" w:styleId="10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WW8Num1z0"/>
    <w:qFormat/>
    <w:uiPriority w:val="0"/>
    <w:rPr>
      <w:rFonts w:ascii="Myriad Pro Light Cond;Arial" w:hAnsi="Myriad Pro Light Cond;Arial" w:cs="Myriad Pro Light Cond;Arial"/>
      <w:color w:val="231F20"/>
      <w:spacing w:val="-3"/>
      <w:w w:val="100"/>
      <w:sz w:val="18"/>
    </w:rPr>
  </w:style>
  <w:style w:type="character" w:customStyle="1" w:styleId="12">
    <w:name w:val="WW8Num2z0"/>
    <w:qFormat/>
    <w:uiPriority w:val="0"/>
    <w:rPr>
      <w:rFonts w:ascii="Symbol" w:hAnsi="Symbol" w:cs="Symbol"/>
    </w:rPr>
  </w:style>
  <w:style w:type="character" w:customStyle="1" w:styleId="13">
    <w:name w:val="WW8Num2z1"/>
    <w:qFormat/>
    <w:uiPriority w:val="0"/>
    <w:rPr>
      <w:rFonts w:ascii="Courier New" w:hAnsi="Courier New" w:cs="Courier New"/>
    </w:rPr>
  </w:style>
  <w:style w:type="character" w:customStyle="1" w:styleId="14">
    <w:name w:val="WW8Num2z2"/>
    <w:qFormat/>
    <w:uiPriority w:val="0"/>
    <w:rPr>
      <w:rFonts w:ascii="Wingdings" w:hAnsi="Wingdings" w:cs="Wingdings"/>
    </w:rPr>
  </w:style>
  <w:style w:type="character" w:customStyle="1" w:styleId="15">
    <w:name w:val="WW8Num3z0"/>
    <w:qFormat/>
    <w:uiPriority w:val="0"/>
    <w:rPr>
      <w:rFonts w:ascii="Symbol" w:hAnsi="Symbol" w:cs="Symbol"/>
    </w:rPr>
  </w:style>
  <w:style w:type="character" w:customStyle="1" w:styleId="16">
    <w:name w:val="WW8Num3z1"/>
    <w:qFormat/>
    <w:uiPriority w:val="0"/>
    <w:rPr>
      <w:rFonts w:ascii="Courier New" w:hAnsi="Courier New" w:cs="Courier New"/>
    </w:rPr>
  </w:style>
  <w:style w:type="character" w:customStyle="1" w:styleId="17">
    <w:name w:val="WW8Num3z2"/>
    <w:qFormat/>
    <w:uiPriority w:val="0"/>
    <w:rPr>
      <w:rFonts w:ascii="Wingdings" w:hAnsi="Wingdings" w:cs="Wingdings"/>
    </w:rPr>
  </w:style>
  <w:style w:type="character" w:customStyle="1" w:styleId="18">
    <w:name w:val="WW8Num5z0"/>
    <w:qFormat/>
    <w:uiPriority w:val="0"/>
    <w:rPr>
      <w:rFonts w:ascii="Symbol" w:hAnsi="Symbol" w:cs="Symbol"/>
    </w:rPr>
  </w:style>
  <w:style w:type="character" w:customStyle="1" w:styleId="19">
    <w:name w:val="WW8Num5z1"/>
    <w:qFormat/>
    <w:uiPriority w:val="0"/>
    <w:rPr>
      <w:rFonts w:ascii="Courier New" w:hAnsi="Courier New" w:cs="Courier New"/>
    </w:rPr>
  </w:style>
  <w:style w:type="character" w:customStyle="1" w:styleId="20">
    <w:name w:val="WW8Num5z2"/>
    <w:qFormat/>
    <w:uiPriority w:val="0"/>
    <w:rPr>
      <w:rFonts w:ascii="Wingdings" w:hAnsi="Wingdings" w:cs="Wingdings"/>
    </w:rPr>
  </w:style>
  <w:style w:type="character" w:customStyle="1" w:styleId="21">
    <w:name w:val="WW8Num6z0"/>
    <w:qFormat/>
    <w:uiPriority w:val="0"/>
    <w:rPr>
      <w:rFonts w:ascii="Symbol" w:hAnsi="Symbol" w:cs="Symbol"/>
    </w:rPr>
  </w:style>
  <w:style w:type="character" w:customStyle="1" w:styleId="22">
    <w:name w:val="WW8Num6z1"/>
    <w:qFormat/>
    <w:uiPriority w:val="0"/>
    <w:rPr>
      <w:rFonts w:ascii="Courier New" w:hAnsi="Courier New" w:cs="Courier New"/>
    </w:rPr>
  </w:style>
  <w:style w:type="character" w:customStyle="1" w:styleId="23">
    <w:name w:val="WW8Num6z2"/>
    <w:qFormat/>
    <w:uiPriority w:val="0"/>
    <w:rPr>
      <w:rFonts w:ascii="Wingdings" w:hAnsi="Wingdings" w:cs="Wingdings"/>
    </w:rPr>
  </w:style>
  <w:style w:type="character" w:customStyle="1" w:styleId="24">
    <w:name w:val="WW8Num7z0"/>
    <w:qFormat/>
    <w:uiPriority w:val="0"/>
    <w:rPr>
      <w:rFonts w:ascii="Symbol" w:hAnsi="Symbol" w:cs="Symbol"/>
    </w:rPr>
  </w:style>
  <w:style w:type="character" w:customStyle="1" w:styleId="25">
    <w:name w:val="WW8Num7z1"/>
    <w:qFormat/>
    <w:uiPriority w:val="0"/>
    <w:rPr>
      <w:rFonts w:ascii="Courier New" w:hAnsi="Courier New" w:cs="Courier New"/>
    </w:rPr>
  </w:style>
  <w:style w:type="character" w:customStyle="1" w:styleId="26">
    <w:name w:val="WW8Num7z2"/>
    <w:qFormat/>
    <w:uiPriority w:val="0"/>
    <w:rPr>
      <w:rFonts w:ascii="Wingdings" w:hAnsi="Wingdings" w:cs="Wingdings"/>
    </w:rPr>
  </w:style>
  <w:style w:type="character" w:customStyle="1" w:styleId="27">
    <w:name w:val="WW8Num8z0"/>
    <w:qFormat/>
    <w:uiPriority w:val="0"/>
    <w:rPr>
      <w:rFonts w:ascii="Symbol" w:hAnsi="Symbol" w:cs="Symbol"/>
    </w:rPr>
  </w:style>
  <w:style w:type="character" w:customStyle="1" w:styleId="28">
    <w:name w:val="WW8Num8z1"/>
    <w:qFormat/>
    <w:uiPriority w:val="0"/>
    <w:rPr>
      <w:rFonts w:ascii="Courier New" w:hAnsi="Courier New" w:cs="Courier New"/>
    </w:rPr>
  </w:style>
  <w:style w:type="character" w:customStyle="1" w:styleId="29">
    <w:name w:val="WW8Num8z2"/>
    <w:qFormat/>
    <w:uiPriority w:val="0"/>
    <w:rPr>
      <w:rFonts w:ascii="Wingdings" w:hAnsi="Wingdings" w:cs="Wingdings"/>
    </w:rPr>
  </w:style>
  <w:style w:type="character" w:customStyle="1" w:styleId="30">
    <w:name w:val="WW8Num9z0"/>
    <w:qFormat/>
    <w:uiPriority w:val="0"/>
    <w:rPr>
      <w:rFonts w:ascii="Symbol" w:hAnsi="Symbol" w:cs="Symbol"/>
    </w:rPr>
  </w:style>
  <w:style w:type="character" w:customStyle="1" w:styleId="31">
    <w:name w:val="WW8Num9z1"/>
    <w:qFormat/>
    <w:uiPriority w:val="0"/>
    <w:rPr>
      <w:rFonts w:ascii="Courier New" w:hAnsi="Courier New" w:cs="Courier New"/>
    </w:rPr>
  </w:style>
  <w:style w:type="character" w:customStyle="1" w:styleId="32">
    <w:name w:val="WW8Num9z2"/>
    <w:qFormat/>
    <w:uiPriority w:val="0"/>
    <w:rPr>
      <w:rFonts w:ascii="Wingdings" w:hAnsi="Wingdings" w:cs="Wingdings"/>
    </w:rPr>
  </w:style>
  <w:style w:type="character" w:customStyle="1" w:styleId="33">
    <w:name w:val="WW8Num10z0"/>
    <w:qFormat/>
    <w:uiPriority w:val="0"/>
    <w:rPr>
      <w:rFonts w:ascii="Symbol" w:hAnsi="Symbol" w:cs="Symbol"/>
    </w:rPr>
  </w:style>
  <w:style w:type="character" w:customStyle="1" w:styleId="34">
    <w:name w:val="WW8Num10z1"/>
    <w:qFormat/>
    <w:uiPriority w:val="0"/>
    <w:rPr>
      <w:rFonts w:ascii="Courier New" w:hAnsi="Courier New" w:cs="Courier New"/>
    </w:rPr>
  </w:style>
  <w:style w:type="character" w:customStyle="1" w:styleId="35">
    <w:name w:val="WW8Num10z2"/>
    <w:qFormat/>
    <w:uiPriority w:val="0"/>
    <w:rPr>
      <w:rFonts w:ascii="Wingdings" w:hAnsi="Wingdings" w:cs="Wingdings"/>
    </w:rPr>
  </w:style>
  <w:style w:type="character" w:customStyle="1" w:styleId="36">
    <w:name w:val="WW8Num11z0"/>
    <w:qFormat/>
    <w:uiPriority w:val="0"/>
    <w:rPr>
      <w:rFonts w:ascii="Symbol" w:hAnsi="Symbol" w:cs="Symbol"/>
    </w:rPr>
  </w:style>
  <w:style w:type="character" w:customStyle="1" w:styleId="37">
    <w:name w:val="WW8Num11z1"/>
    <w:qFormat/>
    <w:uiPriority w:val="0"/>
    <w:rPr>
      <w:rFonts w:ascii="Courier New" w:hAnsi="Courier New" w:cs="Courier New"/>
    </w:rPr>
  </w:style>
  <w:style w:type="character" w:customStyle="1" w:styleId="38">
    <w:name w:val="WW8Num11z2"/>
    <w:qFormat/>
    <w:uiPriority w:val="0"/>
    <w:rPr>
      <w:rFonts w:ascii="Wingdings" w:hAnsi="Wingdings" w:cs="Wingdings"/>
    </w:rPr>
  </w:style>
  <w:style w:type="character" w:customStyle="1" w:styleId="39">
    <w:name w:val="WW8Num12z0"/>
    <w:qFormat/>
    <w:uiPriority w:val="0"/>
    <w:rPr>
      <w:rFonts w:ascii="Cambria" w:hAnsi="Cambria" w:eastAsia="Times New Roman" w:cs="Symbol"/>
    </w:rPr>
  </w:style>
  <w:style w:type="character" w:customStyle="1" w:styleId="40">
    <w:name w:val="WW8Num12z1"/>
    <w:qFormat/>
    <w:uiPriority w:val="0"/>
    <w:rPr>
      <w:rFonts w:ascii="Courier New" w:hAnsi="Courier New" w:cs="Courier New"/>
    </w:rPr>
  </w:style>
  <w:style w:type="character" w:customStyle="1" w:styleId="41">
    <w:name w:val="WW8Num12z2"/>
    <w:qFormat/>
    <w:uiPriority w:val="0"/>
    <w:rPr>
      <w:rFonts w:ascii="Wingdings" w:hAnsi="Wingdings" w:cs="Wingdings"/>
    </w:rPr>
  </w:style>
  <w:style w:type="character" w:customStyle="1" w:styleId="42">
    <w:name w:val="WW8Num12z3"/>
    <w:qFormat/>
    <w:uiPriority w:val="0"/>
    <w:rPr>
      <w:rFonts w:ascii="Symbol" w:hAnsi="Symbol" w:cs="Symbol"/>
    </w:rPr>
  </w:style>
  <w:style w:type="character" w:customStyle="1" w:styleId="43">
    <w:name w:val="WW8Num13z0"/>
    <w:qFormat/>
    <w:uiPriority w:val="0"/>
    <w:rPr>
      <w:rFonts w:ascii="Symbol" w:hAnsi="Symbol" w:cs="Symbol"/>
    </w:rPr>
  </w:style>
  <w:style w:type="character" w:customStyle="1" w:styleId="44">
    <w:name w:val="WW8Num13z1"/>
    <w:qFormat/>
    <w:uiPriority w:val="0"/>
    <w:rPr>
      <w:rFonts w:ascii="Courier New" w:hAnsi="Courier New" w:cs="Courier New"/>
    </w:rPr>
  </w:style>
  <w:style w:type="character" w:customStyle="1" w:styleId="45">
    <w:name w:val="WW8Num13z2"/>
    <w:qFormat/>
    <w:uiPriority w:val="0"/>
    <w:rPr>
      <w:rFonts w:ascii="Wingdings" w:hAnsi="Wingdings" w:cs="Wingdings"/>
    </w:rPr>
  </w:style>
  <w:style w:type="character" w:customStyle="1" w:styleId="46">
    <w:name w:val="WW8Num14z0"/>
    <w:qFormat/>
    <w:uiPriority w:val="0"/>
    <w:rPr>
      <w:rFonts w:ascii="Symbol" w:hAnsi="Symbol" w:cs="Symbol"/>
    </w:rPr>
  </w:style>
  <w:style w:type="character" w:customStyle="1" w:styleId="47">
    <w:name w:val="WW8Num14z1"/>
    <w:qFormat/>
    <w:uiPriority w:val="0"/>
    <w:rPr>
      <w:rFonts w:ascii="Courier New" w:hAnsi="Courier New" w:cs="Courier New"/>
    </w:rPr>
  </w:style>
  <w:style w:type="character" w:customStyle="1" w:styleId="48">
    <w:name w:val="WW8Num14z2"/>
    <w:qFormat/>
    <w:uiPriority w:val="0"/>
    <w:rPr>
      <w:rFonts w:ascii="Wingdings" w:hAnsi="Wingdings" w:cs="Wingdings"/>
    </w:rPr>
  </w:style>
  <w:style w:type="character" w:customStyle="1" w:styleId="49">
    <w:name w:val="WW8Num15z0"/>
    <w:qFormat/>
    <w:uiPriority w:val="0"/>
    <w:rPr>
      <w:rFonts w:ascii="Symbol" w:hAnsi="Symbol" w:cs="Symbol"/>
    </w:rPr>
  </w:style>
  <w:style w:type="character" w:customStyle="1" w:styleId="50">
    <w:name w:val="WW8Num15z1"/>
    <w:qFormat/>
    <w:uiPriority w:val="0"/>
    <w:rPr>
      <w:rFonts w:ascii="Courier New" w:hAnsi="Courier New" w:cs="Courier New"/>
    </w:rPr>
  </w:style>
  <w:style w:type="character" w:customStyle="1" w:styleId="51">
    <w:name w:val="WW8Num15z2"/>
    <w:qFormat/>
    <w:uiPriority w:val="0"/>
    <w:rPr>
      <w:rFonts w:ascii="Wingdings" w:hAnsi="Wingdings" w:cs="Wingdings"/>
    </w:rPr>
  </w:style>
  <w:style w:type="character" w:customStyle="1" w:styleId="52">
    <w:name w:val="WW8Num16z0"/>
    <w:qFormat/>
    <w:uiPriority w:val="0"/>
  </w:style>
  <w:style w:type="character" w:customStyle="1" w:styleId="53">
    <w:name w:val="WW8Num17z0"/>
    <w:qFormat/>
    <w:uiPriority w:val="0"/>
    <w:rPr>
      <w:rFonts w:ascii="Symbol" w:hAnsi="Symbol" w:cs="Symbol"/>
    </w:rPr>
  </w:style>
  <w:style w:type="character" w:customStyle="1" w:styleId="54">
    <w:name w:val="WW8Num17z1"/>
    <w:qFormat/>
    <w:uiPriority w:val="0"/>
    <w:rPr>
      <w:rFonts w:ascii="Courier New" w:hAnsi="Courier New" w:cs="Courier New"/>
    </w:rPr>
  </w:style>
  <w:style w:type="character" w:customStyle="1" w:styleId="55">
    <w:name w:val="WW8Num17z2"/>
    <w:qFormat/>
    <w:uiPriority w:val="0"/>
    <w:rPr>
      <w:rFonts w:ascii="Wingdings" w:hAnsi="Wingdings" w:cs="Wingdings"/>
    </w:rPr>
  </w:style>
  <w:style w:type="character" w:customStyle="1" w:styleId="56">
    <w:name w:val="WW8Num18z0"/>
    <w:qFormat/>
    <w:uiPriority w:val="0"/>
    <w:rPr>
      <w:w w:val="100"/>
    </w:rPr>
  </w:style>
  <w:style w:type="character" w:customStyle="1" w:styleId="57">
    <w:name w:val="WW8Num19z0"/>
    <w:qFormat/>
    <w:uiPriority w:val="0"/>
    <w:rPr>
      <w:rFonts w:ascii="Symbol" w:hAnsi="Symbol" w:cs="Symbol"/>
    </w:rPr>
  </w:style>
  <w:style w:type="character" w:customStyle="1" w:styleId="58">
    <w:name w:val="WW8Num19z1"/>
    <w:qFormat/>
    <w:uiPriority w:val="0"/>
    <w:rPr>
      <w:rFonts w:ascii="Courier New" w:hAnsi="Courier New" w:cs="Courier New"/>
    </w:rPr>
  </w:style>
  <w:style w:type="character" w:customStyle="1" w:styleId="59">
    <w:name w:val="WW8Num19z2"/>
    <w:qFormat/>
    <w:uiPriority w:val="0"/>
    <w:rPr>
      <w:rFonts w:ascii="Wingdings" w:hAnsi="Wingdings" w:cs="Wingdings"/>
    </w:rPr>
  </w:style>
  <w:style w:type="character" w:customStyle="1" w:styleId="60">
    <w:name w:val="WW8Num20z0"/>
    <w:qFormat/>
    <w:uiPriority w:val="0"/>
    <w:rPr>
      <w:rFonts w:ascii="Symbol" w:hAnsi="Symbol" w:cs="Symbol"/>
    </w:rPr>
  </w:style>
  <w:style w:type="character" w:customStyle="1" w:styleId="61">
    <w:name w:val="WW8Num20z1"/>
    <w:qFormat/>
    <w:uiPriority w:val="0"/>
    <w:rPr>
      <w:rFonts w:ascii="Courier New" w:hAnsi="Courier New" w:cs="Courier New"/>
    </w:rPr>
  </w:style>
  <w:style w:type="character" w:customStyle="1" w:styleId="62">
    <w:name w:val="WW8Num20z2"/>
    <w:qFormat/>
    <w:uiPriority w:val="0"/>
    <w:rPr>
      <w:rFonts w:ascii="Wingdings" w:hAnsi="Wingdings" w:cs="Wingdings"/>
    </w:rPr>
  </w:style>
  <w:style w:type="character" w:customStyle="1" w:styleId="63">
    <w:name w:val="WW8Num21z0"/>
    <w:qFormat/>
    <w:uiPriority w:val="0"/>
    <w:rPr>
      <w:rFonts w:ascii="Symbol" w:hAnsi="Symbol" w:cs="Symbol"/>
    </w:rPr>
  </w:style>
  <w:style w:type="character" w:customStyle="1" w:styleId="64">
    <w:name w:val="WW8Num21z1"/>
    <w:qFormat/>
    <w:uiPriority w:val="0"/>
    <w:rPr>
      <w:rFonts w:ascii="Courier New" w:hAnsi="Courier New" w:cs="Courier New"/>
    </w:rPr>
  </w:style>
  <w:style w:type="character" w:customStyle="1" w:styleId="65">
    <w:name w:val="WW8Num21z2"/>
    <w:qFormat/>
    <w:uiPriority w:val="0"/>
    <w:rPr>
      <w:rFonts w:ascii="Wingdings" w:hAnsi="Wingdings" w:cs="Wingdings"/>
    </w:rPr>
  </w:style>
  <w:style w:type="character" w:customStyle="1" w:styleId="66">
    <w:name w:val="WW8Num22z0"/>
    <w:qFormat/>
    <w:uiPriority w:val="0"/>
    <w:rPr>
      <w:rFonts w:ascii="Symbol" w:hAnsi="Symbol" w:cs="Symbol"/>
    </w:rPr>
  </w:style>
  <w:style w:type="character" w:customStyle="1" w:styleId="67">
    <w:name w:val="WW8Num22z1"/>
    <w:qFormat/>
    <w:uiPriority w:val="0"/>
    <w:rPr>
      <w:rFonts w:ascii="Courier New" w:hAnsi="Courier New" w:cs="Courier New"/>
    </w:rPr>
  </w:style>
  <w:style w:type="character" w:customStyle="1" w:styleId="68">
    <w:name w:val="WW8Num22z2"/>
    <w:qFormat/>
    <w:uiPriority w:val="0"/>
    <w:rPr>
      <w:rFonts w:ascii="Wingdings" w:hAnsi="Wingdings" w:cs="Wingdings"/>
    </w:rPr>
  </w:style>
  <w:style w:type="character" w:customStyle="1" w:styleId="69">
    <w:name w:val="WW8Num23z0"/>
    <w:qFormat/>
    <w:uiPriority w:val="0"/>
    <w:rPr>
      <w:rFonts w:ascii="Times New Roman" w:hAnsi="Times New Roman" w:eastAsia="Calibri" w:cs="Times New Roman"/>
    </w:rPr>
  </w:style>
  <w:style w:type="character" w:customStyle="1" w:styleId="70">
    <w:name w:val="WW8Num23z1"/>
    <w:qFormat/>
    <w:uiPriority w:val="0"/>
    <w:rPr>
      <w:rFonts w:ascii="Courier New" w:hAnsi="Courier New" w:cs="Courier New"/>
    </w:rPr>
  </w:style>
  <w:style w:type="character" w:customStyle="1" w:styleId="71">
    <w:name w:val="WW8Num23z2"/>
    <w:qFormat/>
    <w:uiPriority w:val="0"/>
    <w:rPr>
      <w:rFonts w:ascii="Wingdings" w:hAnsi="Wingdings" w:cs="Wingdings"/>
    </w:rPr>
  </w:style>
  <w:style w:type="character" w:customStyle="1" w:styleId="72">
    <w:name w:val="WW8Num23z3"/>
    <w:qFormat/>
    <w:uiPriority w:val="0"/>
    <w:rPr>
      <w:rFonts w:ascii="Symbol" w:hAnsi="Symbol" w:cs="Symbol"/>
    </w:rPr>
  </w:style>
  <w:style w:type="character" w:customStyle="1" w:styleId="73">
    <w:name w:val="WW8Num24z0"/>
    <w:qFormat/>
    <w:uiPriority w:val="0"/>
    <w:rPr>
      <w:rFonts w:ascii="Symbol" w:hAnsi="Symbol" w:cs="Symbol"/>
    </w:rPr>
  </w:style>
  <w:style w:type="character" w:customStyle="1" w:styleId="74">
    <w:name w:val="WW8Num24z1"/>
    <w:qFormat/>
    <w:uiPriority w:val="0"/>
    <w:rPr>
      <w:rFonts w:ascii="Courier New" w:hAnsi="Courier New" w:cs="Courier New"/>
    </w:rPr>
  </w:style>
  <w:style w:type="character" w:customStyle="1" w:styleId="75">
    <w:name w:val="WW8Num24z2"/>
    <w:qFormat/>
    <w:uiPriority w:val="0"/>
    <w:rPr>
      <w:rFonts w:ascii="Wingdings" w:hAnsi="Wingdings" w:cs="Wingdings"/>
    </w:rPr>
  </w:style>
  <w:style w:type="character" w:customStyle="1" w:styleId="76">
    <w:name w:val="WW8Num25z0"/>
    <w:qFormat/>
    <w:uiPriority w:val="0"/>
    <w:rPr>
      <w:rFonts w:ascii="Symbol" w:hAnsi="Symbol" w:cs="Symbol"/>
    </w:rPr>
  </w:style>
  <w:style w:type="character" w:customStyle="1" w:styleId="77">
    <w:name w:val="WW8Num25z1"/>
    <w:qFormat/>
    <w:uiPriority w:val="0"/>
    <w:rPr>
      <w:rFonts w:ascii="Courier New" w:hAnsi="Courier New" w:cs="Courier New"/>
    </w:rPr>
  </w:style>
  <w:style w:type="character" w:customStyle="1" w:styleId="78">
    <w:name w:val="WW8Num25z2"/>
    <w:qFormat/>
    <w:uiPriority w:val="0"/>
    <w:rPr>
      <w:rFonts w:ascii="Wingdings" w:hAnsi="Wingdings" w:cs="Wingdings"/>
    </w:rPr>
  </w:style>
  <w:style w:type="character" w:customStyle="1" w:styleId="79">
    <w:name w:val="WW8Num26z0"/>
    <w:qFormat/>
    <w:uiPriority w:val="0"/>
    <w:rPr>
      <w:rFonts w:ascii="Symbol" w:hAnsi="Symbol" w:cs="Symbol"/>
    </w:rPr>
  </w:style>
  <w:style w:type="character" w:customStyle="1" w:styleId="80">
    <w:name w:val="WW8Num26z1"/>
    <w:qFormat/>
    <w:uiPriority w:val="0"/>
    <w:rPr>
      <w:rFonts w:ascii="Courier New" w:hAnsi="Courier New" w:cs="Courier New"/>
    </w:rPr>
  </w:style>
  <w:style w:type="character" w:customStyle="1" w:styleId="81">
    <w:name w:val="WW8Num26z2"/>
    <w:qFormat/>
    <w:uiPriority w:val="0"/>
    <w:rPr>
      <w:rFonts w:ascii="Wingdings" w:hAnsi="Wingdings" w:cs="Wingdings"/>
    </w:rPr>
  </w:style>
  <w:style w:type="character" w:customStyle="1" w:styleId="82">
    <w:name w:val="WW8Num27z0"/>
    <w:qFormat/>
    <w:uiPriority w:val="0"/>
    <w:rPr>
      <w:rFonts w:ascii="Symbol" w:hAnsi="Symbol" w:cs="Symbol"/>
    </w:rPr>
  </w:style>
  <w:style w:type="character" w:customStyle="1" w:styleId="83">
    <w:name w:val="WW8Num27z1"/>
    <w:qFormat/>
    <w:uiPriority w:val="0"/>
    <w:rPr>
      <w:rFonts w:ascii="Courier New" w:hAnsi="Courier New" w:cs="Courier New"/>
    </w:rPr>
  </w:style>
  <w:style w:type="character" w:customStyle="1" w:styleId="84">
    <w:name w:val="WW8Num27z2"/>
    <w:qFormat/>
    <w:uiPriority w:val="0"/>
    <w:rPr>
      <w:rFonts w:ascii="Wingdings" w:hAnsi="Wingdings" w:cs="Wingdings"/>
    </w:rPr>
  </w:style>
  <w:style w:type="character" w:customStyle="1" w:styleId="85">
    <w:name w:val="WW8Num28z0"/>
    <w:qFormat/>
    <w:uiPriority w:val="0"/>
    <w:rPr>
      <w:rFonts w:ascii="Times New Roman" w:hAnsi="Times New Roman" w:eastAsia="Times New Roman" w:cs="Times New Roman"/>
    </w:rPr>
  </w:style>
  <w:style w:type="character" w:customStyle="1" w:styleId="86">
    <w:name w:val="WW8Num28z1"/>
    <w:qFormat/>
    <w:uiPriority w:val="0"/>
    <w:rPr>
      <w:rFonts w:ascii="Courier New" w:hAnsi="Courier New" w:cs="Courier New"/>
    </w:rPr>
  </w:style>
  <w:style w:type="character" w:customStyle="1" w:styleId="87">
    <w:name w:val="WW8Num28z2"/>
    <w:qFormat/>
    <w:uiPriority w:val="0"/>
    <w:rPr>
      <w:rFonts w:ascii="Wingdings" w:hAnsi="Wingdings" w:cs="Wingdings"/>
    </w:rPr>
  </w:style>
  <w:style w:type="character" w:customStyle="1" w:styleId="88">
    <w:name w:val="WW8Num28z3"/>
    <w:qFormat/>
    <w:uiPriority w:val="0"/>
    <w:rPr>
      <w:rFonts w:ascii="Symbol" w:hAnsi="Symbol" w:cs="Symbol"/>
    </w:rPr>
  </w:style>
  <w:style w:type="character" w:customStyle="1" w:styleId="89">
    <w:name w:val="Шрифт на абзаца по подразбиране1"/>
    <w:qFormat/>
    <w:uiPriority w:val="0"/>
  </w:style>
  <w:style w:type="character" w:customStyle="1" w:styleId="90">
    <w:name w:val="Основен текст 2 Знак"/>
    <w:qFormat/>
    <w:uiPriority w:val="0"/>
    <w:rPr>
      <w:sz w:val="24"/>
      <w:szCs w:val="24"/>
    </w:rPr>
  </w:style>
  <w:style w:type="character" w:customStyle="1" w:styleId="91">
    <w:name w:val="Изнесен текст Знак1"/>
    <w:qFormat/>
    <w:uiPriority w:val="0"/>
    <w:rPr>
      <w:rFonts w:ascii="Tahoma" w:hAnsi="Tahoma" w:cs="Tahoma"/>
      <w:sz w:val="16"/>
      <w:szCs w:val="16"/>
    </w:rPr>
  </w:style>
  <w:style w:type="character" w:customStyle="1" w:styleId="92">
    <w:name w:val="Основен текст Знак"/>
    <w:qFormat/>
    <w:uiPriority w:val="0"/>
    <w:rPr>
      <w:b/>
      <w:bCs/>
      <w:sz w:val="24"/>
      <w:szCs w:val="24"/>
    </w:rPr>
  </w:style>
  <w:style w:type="character" w:customStyle="1" w:styleId="93">
    <w:name w:val="Изнесен текст Знак"/>
    <w:qFormat/>
    <w:uiPriority w:val="0"/>
    <w:rPr>
      <w:rFonts w:ascii="Tahoma" w:hAnsi="Tahoma" w:eastAsia="Calibri" w:cs="Tahoma"/>
      <w:sz w:val="16"/>
      <w:szCs w:val="16"/>
    </w:rPr>
  </w:style>
  <w:style w:type="character" w:customStyle="1" w:styleId="94">
    <w:name w:val="Горен колонтитул Знак"/>
    <w:qFormat/>
    <w:uiPriority w:val="0"/>
    <w:rPr>
      <w:rFonts w:ascii="Calibri" w:hAnsi="Calibri" w:cs="Calibri"/>
      <w:sz w:val="22"/>
      <w:szCs w:val="22"/>
    </w:rPr>
  </w:style>
  <w:style w:type="character" w:customStyle="1" w:styleId="95">
    <w:name w:val="Долен колонтитул Знак"/>
    <w:qFormat/>
    <w:uiPriority w:val="0"/>
    <w:rPr>
      <w:rFonts w:ascii="Calibri" w:hAnsi="Calibri" w:cs="Calibri"/>
      <w:sz w:val="22"/>
      <w:szCs w:val="22"/>
    </w:rPr>
  </w:style>
  <w:style w:type="paragraph" w:customStyle="1" w:styleId="96">
    <w:name w:val="Heading"/>
    <w:basedOn w:val="1"/>
    <w:next w:val="4"/>
    <w:qFormat/>
    <w:uiPriority w:val="0"/>
    <w:pPr>
      <w:keepNext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customStyle="1" w:styleId="97">
    <w:name w:val="Index"/>
    <w:basedOn w:val="1"/>
    <w:qFormat/>
    <w:uiPriority w:val="0"/>
    <w:pPr>
      <w:suppressLineNumbers/>
    </w:pPr>
    <w:rPr>
      <w:rFonts w:cs="Lohit Devanagari"/>
    </w:rPr>
  </w:style>
  <w:style w:type="paragraph" w:customStyle="1" w:styleId="98">
    <w:name w:val="Стил1"/>
    <w:basedOn w:val="1"/>
    <w:qFormat/>
    <w:uiPriority w:val="0"/>
  </w:style>
  <w:style w:type="paragraph" w:customStyle="1" w:styleId="99">
    <w:name w:val="Основен текст 21"/>
    <w:basedOn w:val="1"/>
    <w:qFormat/>
    <w:uiPriority w:val="0"/>
    <w:pPr>
      <w:jc w:val="both"/>
    </w:pPr>
    <w:rPr>
      <w:sz w:val="24"/>
      <w:szCs w:val="24"/>
    </w:rPr>
  </w:style>
  <w:style w:type="paragraph" w:customStyle="1" w:styleId="100">
    <w:name w:val="2010basictxt"/>
    <w:basedOn w:val="1"/>
    <w:qFormat/>
    <w:uiPriority w:val="0"/>
    <w:pPr>
      <w:spacing w:before="150" w:after="150"/>
    </w:pPr>
    <w:rPr>
      <w:sz w:val="24"/>
      <w:szCs w:val="24"/>
    </w:rPr>
  </w:style>
  <w:style w:type="paragraph" w:customStyle="1" w:styleId="101">
    <w:name w:val="Списък на абзаци1"/>
    <w:basedOn w:val="1"/>
    <w:qFormat/>
    <w:uiPriority w:val="0"/>
    <w:pPr>
      <w:ind w:left="720"/>
    </w:pPr>
  </w:style>
  <w:style w:type="paragraph" w:customStyle="1" w:styleId="102">
    <w:name w:val="List Paragraph1"/>
    <w:basedOn w:val="1"/>
    <w:qFormat/>
    <w:uiPriority w:val="0"/>
    <w:pPr>
      <w:suppressAutoHyphens w:val="0"/>
      <w:autoSpaceDE w:val="0"/>
      <w:spacing w:after="160" w:line="257" w:lineRule="auto"/>
      <w:ind w:left="720"/>
      <w:textAlignment w:val="center"/>
    </w:pPr>
    <w:rPr>
      <w:rFonts w:ascii="Calibri" w:hAnsi="Calibri" w:cs="Calibri"/>
      <w:color w:val="000000"/>
      <w:szCs w:val="22"/>
      <w:lang w:val="en-US"/>
    </w:rPr>
  </w:style>
  <w:style w:type="paragraph" w:customStyle="1" w:styleId="103">
    <w:name w:val="Изнесен текст1"/>
    <w:basedOn w:val="1"/>
    <w:qFormat/>
    <w:uiPriority w:val="0"/>
    <w:rPr>
      <w:rFonts w:ascii="Tahoma" w:hAnsi="Tahoma" w:cs="Tahoma"/>
    </w:rPr>
  </w:style>
  <w:style w:type="paragraph" w:customStyle="1" w:styleId="104">
    <w:name w:val="Нормален (уеб)1"/>
    <w:basedOn w:val="1"/>
    <w:qFormat/>
    <w:uiPriority w:val="0"/>
    <w:pPr>
      <w:suppressAutoHyphens w:val="0"/>
      <w:spacing w:before="280" w:after="280"/>
      <w:textAlignment w:val="auto"/>
    </w:pPr>
    <w:rPr>
      <w:sz w:val="24"/>
      <w:szCs w:val="24"/>
      <w:lang w:val="en-US"/>
    </w:rPr>
  </w:style>
  <w:style w:type="paragraph" w:customStyle="1" w:styleId="105">
    <w:name w:val="Default"/>
    <w:qFormat/>
    <w:uiPriority w:val="0"/>
    <w:pPr>
      <w:suppressAutoHyphens/>
      <w:autoSpaceDE w:val="0"/>
    </w:pPr>
    <w:rPr>
      <w:rFonts w:ascii="Times New Roman" w:hAnsi="Times New Roman" w:eastAsia="Calibri" w:cs="Times New Roman"/>
      <w:color w:val="000000"/>
      <w:sz w:val="24"/>
      <w:szCs w:val="24"/>
      <w:lang w:val="en-US" w:eastAsia="zh-CN" w:bidi="ar-SA"/>
    </w:rPr>
  </w:style>
  <w:style w:type="paragraph" w:customStyle="1" w:styleId="106">
    <w:name w:val="Изнесен текст11"/>
    <w:basedOn w:val="1"/>
    <w:next w:val="103"/>
    <w:qFormat/>
    <w:uiPriority w:val="0"/>
    <w:pPr>
      <w:suppressAutoHyphens w:val="0"/>
      <w:textAlignment w:val="auto"/>
    </w:pPr>
    <w:rPr>
      <w:rFonts w:ascii="Tahoma" w:hAnsi="Tahoma" w:eastAsia="Calibri" w:cs="Tahoma"/>
    </w:rPr>
  </w:style>
  <w:style w:type="paragraph" w:customStyle="1" w:styleId="107">
    <w:name w:val="Header and Footer"/>
    <w:basedOn w:val="1"/>
    <w:qFormat/>
    <w:uiPriority w:val="0"/>
    <w:pPr>
      <w:suppressLineNumbers/>
      <w:tabs>
        <w:tab w:val="center" w:pos="4819"/>
        <w:tab w:val="right" w:pos="9638"/>
      </w:tabs>
    </w:pPr>
  </w:style>
  <w:style w:type="paragraph" w:customStyle="1" w:styleId="108">
    <w:name w:val="Table Paragraph"/>
    <w:basedOn w:val="1"/>
    <w:qFormat/>
    <w:uiPriority w:val="0"/>
    <w:pPr>
      <w:widowControl w:val="0"/>
      <w:suppressAutoHyphens w:val="0"/>
      <w:autoSpaceDE w:val="0"/>
      <w:textAlignment w:val="auto"/>
    </w:pPr>
    <w:rPr>
      <w:rFonts w:ascii="Myriad Pro Light Cond;Arial" w:hAnsi="Myriad Pro Light Cond;Arial" w:cs="Myriad Pro Light Cond;Arial"/>
      <w:sz w:val="24"/>
      <w:szCs w:val="24"/>
      <w:lang w:val="en-US" w:bidi="he-IL"/>
    </w:rPr>
  </w:style>
  <w:style w:type="paragraph" w:customStyle="1" w:styleId="109">
    <w:name w:val="Table Contents"/>
    <w:basedOn w:val="1"/>
    <w:qFormat/>
    <w:uiPriority w:val="0"/>
    <w:pPr>
      <w:widowControl w:val="0"/>
      <w:suppressLineNumbers/>
    </w:pPr>
  </w:style>
  <w:style w:type="paragraph" w:customStyle="1" w:styleId="110">
    <w:name w:val="Table Heading"/>
    <w:basedOn w:val="109"/>
    <w:qFormat/>
    <w:uiPriority w:val="0"/>
    <w:pPr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18</Pages>
  <Words>3634</Words>
  <Characters>22195</Characters>
  <Lines>186</Lines>
  <Paragraphs>52</Paragraphs>
  <TotalTime>699</TotalTime>
  <ScaleCrop>false</ScaleCrop>
  <LinksUpToDate>false</LinksUpToDate>
  <CharactersWithSpaces>25770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2026-08-31T06:09:00Z</dcterms:created>
  <dc:creator>Savov</dc:creator>
  <cp:lastModifiedBy>Tony Dimitrova</cp:lastModifiedBy>
  <cp:lastPrinted>2025-10-08T13:55:00Z</cp:lastPrinted>
  <dcterms:modified xsi:type="dcterms:W3CDTF">2026-10-10T03:13:43Z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eyJoZGlkIjoiZjRmN2MyZWFlZmY3ZDY4MTFmZjI2Y2E3MTkyMTdmMzUiLCJ1c2VySWQiOiIzNzI4MTMwNjY2NjQ5In0=</vt:lpwstr>
  </property>
  <property fmtid="{D5CDD505-2E9C-101B-9397-08002B2CF9AE}" pid="3" name="KSOProductBuildVer">
    <vt:lpwstr>1033-12.1.0.28485</vt:lpwstr>
  </property>
  <property fmtid="{D5CDD505-2E9C-101B-9397-08002B2CF9AE}" pid="4" name="ICV">
    <vt:lpwstr>40A43DD3CCD2437BAB169A6379BC677A_12</vt:lpwstr>
  </property>
</Properties>
</file>